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4D" w:rsidRPr="008D414D" w:rsidRDefault="008D414D" w:rsidP="008D414D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8D414D">
        <w:rPr>
          <w:rFonts w:ascii="Tahoma" w:hAnsi="Tahoma" w:cs="Tahoma"/>
          <w:b/>
          <w:bCs/>
          <w:color w:val="000000"/>
          <w:sz w:val="24"/>
          <w:szCs w:val="24"/>
        </w:rPr>
        <w:t xml:space="preserve">Порядка 4 тысяч курян получили </w:t>
      </w:r>
      <w:proofErr w:type="spellStart"/>
      <w:r w:rsidRPr="008D414D">
        <w:rPr>
          <w:rFonts w:ascii="Tahoma" w:hAnsi="Tahoma" w:cs="Tahoma"/>
          <w:b/>
          <w:bCs/>
          <w:color w:val="000000"/>
          <w:sz w:val="24"/>
          <w:szCs w:val="24"/>
        </w:rPr>
        <w:t>проактивные</w:t>
      </w:r>
      <w:proofErr w:type="spellEnd"/>
      <w:r w:rsidRPr="008D414D">
        <w:rPr>
          <w:rFonts w:ascii="Tahoma" w:hAnsi="Tahoma" w:cs="Tahoma"/>
          <w:b/>
          <w:bCs/>
          <w:color w:val="000000"/>
          <w:sz w:val="24"/>
          <w:szCs w:val="24"/>
        </w:rPr>
        <w:t xml:space="preserve"> уведомления о будущей пенсии с начала года</w:t>
      </w:r>
    </w:p>
    <w:p w:rsidR="008D414D" w:rsidRPr="008D414D" w:rsidRDefault="008D414D" w:rsidP="008D414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D414D">
        <w:rPr>
          <w:rFonts w:ascii="Tahoma" w:hAnsi="Tahoma" w:cs="Tahoma"/>
          <w:color w:val="000000"/>
          <w:sz w:val="20"/>
          <w:szCs w:val="20"/>
        </w:rPr>
        <w:t> 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8D414D">
        <w:rPr>
          <w:rFonts w:ascii="Helvetica" w:hAnsi="Helvetica" w:cs="Helvetica"/>
          <w:color w:val="1A1A1A"/>
          <w:sz w:val="25"/>
          <w:szCs w:val="25"/>
        </w:rPr>
        <w:t>К</w:t>
      </w:r>
      <w:r w:rsidRPr="008D414D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8D414D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8D414D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8D414D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8D414D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Порядка 4 тысяч курян получили </w:t>
      </w: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проактивные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уведомления о будущей пенсии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с начала года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С начала года Социальный фонд России направил 3980 жителям Курской области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проактивные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уведомления о размере будущей страховой пенсии по старости. Такие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сведения поступили в личный кабинет на портале </w:t>
      </w: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1867 мужчинам,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достигшим 45 лет, и 2113 женщинам, которым исполнилось 40 лет.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В уведомлении Социального фонда содержится информация о страховом стаже,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8D414D">
        <w:rPr>
          <w:rFonts w:ascii="Helvetica" w:hAnsi="Helvetica" w:cs="Helvetica"/>
          <w:color w:val="1A1A1A"/>
          <w:sz w:val="25"/>
          <w:szCs w:val="25"/>
        </w:rPr>
        <w:t>количестве</w:t>
      </w:r>
      <w:proofErr w:type="gram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заработанных на данный момент пенсионных коэффициентов и размере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пенсии, рассчитанной по этим показателям. В сведениях также указан размер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пенсионных накоплений, если они формируются.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Проактивное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информирование даёт гражданам возможность проверить </w:t>
      </w:r>
      <w:proofErr w:type="gramStart"/>
      <w:r w:rsidRPr="008D414D">
        <w:rPr>
          <w:rFonts w:ascii="Helvetica" w:hAnsi="Helvetica" w:cs="Helvetica"/>
          <w:color w:val="1A1A1A"/>
          <w:sz w:val="25"/>
          <w:szCs w:val="25"/>
        </w:rPr>
        <w:t>переданные</w:t>
      </w:r>
      <w:proofErr w:type="gramEnd"/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работодателями сведения и заранее оценить свои пенсионные права. За все время </w:t>
      </w:r>
      <w:proofErr w:type="gramStart"/>
      <w:r w:rsidRPr="008D414D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момента начала рассылки такие уведомления в нашем регионе получили порядка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205 тысяч курян.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Гражданам, у которых нет учетной записи на портале </w:t>
      </w: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>, информация о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формировании пенсии </w:t>
      </w:r>
      <w:proofErr w:type="gramStart"/>
      <w:r w:rsidRPr="008D414D">
        <w:rPr>
          <w:rFonts w:ascii="Helvetica" w:hAnsi="Helvetica" w:cs="Helvetica"/>
          <w:color w:val="1A1A1A"/>
          <w:sz w:val="25"/>
          <w:szCs w:val="25"/>
        </w:rPr>
        <w:t>доступна</w:t>
      </w:r>
      <w:proofErr w:type="gram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в клиентских службах Социального фонда.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 xml:space="preserve">Напомним, </w:t>
      </w:r>
      <w:proofErr w:type="spellStart"/>
      <w:r w:rsidRPr="008D414D">
        <w:rPr>
          <w:rFonts w:ascii="Helvetica" w:hAnsi="Helvetica" w:cs="Helvetica"/>
          <w:color w:val="1A1A1A"/>
          <w:sz w:val="25"/>
          <w:szCs w:val="25"/>
        </w:rPr>
        <w:t>проактивное</w:t>
      </w:r>
      <w:proofErr w:type="spellEnd"/>
      <w:r w:rsidRPr="008D414D">
        <w:rPr>
          <w:rFonts w:ascii="Helvetica" w:hAnsi="Helvetica" w:cs="Helvetica"/>
          <w:color w:val="1A1A1A"/>
          <w:sz w:val="25"/>
          <w:szCs w:val="25"/>
        </w:rPr>
        <w:t xml:space="preserve"> информирование о размере сформированной пенсии и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8D414D">
        <w:rPr>
          <w:rFonts w:ascii="Helvetica" w:hAnsi="Helvetica" w:cs="Helvetica"/>
          <w:color w:val="1A1A1A"/>
          <w:sz w:val="25"/>
          <w:szCs w:val="25"/>
        </w:rPr>
        <w:t>условиях</w:t>
      </w:r>
      <w:proofErr w:type="gramEnd"/>
      <w:r w:rsidRPr="008D414D">
        <w:rPr>
          <w:rFonts w:ascii="Helvetica" w:hAnsi="Helvetica" w:cs="Helvetica"/>
          <w:color w:val="1A1A1A"/>
          <w:sz w:val="25"/>
          <w:szCs w:val="25"/>
        </w:rPr>
        <w:t>, при которых она назначается, поступает раз в три года женщинам, начиная</w:t>
      </w:r>
    </w:p>
    <w:p w:rsidR="008D414D" w:rsidRPr="008D414D" w:rsidRDefault="008D414D" w:rsidP="008D414D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8D414D">
        <w:rPr>
          <w:rFonts w:ascii="Helvetica" w:hAnsi="Helvetica" w:cs="Helvetica"/>
          <w:color w:val="1A1A1A"/>
          <w:sz w:val="25"/>
          <w:szCs w:val="25"/>
        </w:rPr>
        <w:t>с 40 лет и мужчинам, начиная с 45 лет.</w:t>
      </w:r>
    </w:p>
    <w:p w:rsidR="008D414D" w:rsidRPr="008D414D" w:rsidRDefault="008D414D" w:rsidP="008D414D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D414D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8D414D" w:rsidRDefault="002126F2" w:rsidP="008D414D">
      <w:pPr>
        <w:rPr>
          <w:szCs w:val="52"/>
        </w:rPr>
      </w:pPr>
    </w:p>
    <w:sectPr w:rsidR="002126F2" w:rsidRPr="008D414D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261750"/>
    <w:multiLevelType w:val="multilevel"/>
    <w:tmpl w:val="26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C98264D"/>
    <w:multiLevelType w:val="multilevel"/>
    <w:tmpl w:val="11AE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64"/>
  </w:num>
  <w:num w:numId="3">
    <w:abstractNumId w:val="41"/>
  </w:num>
  <w:num w:numId="4">
    <w:abstractNumId w:val="80"/>
  </w:num>
  <w:num w:numId="5">
    <w:abstractNumId w:val="25"/>
  </w:num>
  <w:num w:numId="6">
    <w:abstractNumId w:val="36"/>
  </w:num>
  <w:num w:numId="7">
    <w:abstractNumId w:val="22"/>
  </w:num>
  <w:num w:numId="8">
    <w:abstractNumId w:val="52"/>
  </w:num>
  <w:num w:numId="9">
    <w:abstractNumId w:val="71"/>
  </w:num>
  <w:num w:numId="10">
    <w:abstractNumId w:val="40"/>
  </w:num>
  <w:num w:numId="11">
    <w:abstractNumId w:val="19"/>
  </w:num>
  <w:num w:numId="12">
    <w:abstractNumId w:val="54"/>
  </w:num>
  <w:num w:numId="13">
    <w:abstractNumId w:val="31"/>
  </w:num>
  <w:num w:numId="14">
    <w:abstractNumId w:val="65"/>
  </w:num>
  <w:num w:numId="15">
    <w:abstractNumId w:val="48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6"/>
  </w:num>
  <w:num w:numId="21">
    <w:abstractNumId w:val="27"/>
  </w:num>
  <w:num w:numId="22">
    <w:abstractNumId w:val="29"/>
  </w:num>
  <w:num w:numId="23">
    <w:abstractNumId w:val="61"/>
  </w:num>
  <w:num w:numId="24">
    <w:abstractNumId w:val="9"/>
  </w:num>
  <w:num w:numId="25">
    <w:abstractNumId w:val="55"/>
  </w:num>
  <w:num w:numId="26">
    <w:abstractNumId w:val="37"/>
  </w:num>
  <w:num w:numId="27">
    <w:abstractNumId w:val="72"/>
  </w:num>
  <w:num w:numId="28">
    <w:abstractNumId w:val="6"/>
  </w:num>
  <w:num w:numId="29">
    <w:abstractNumId w:val="83"/>
  </w:num>
  <w:num w:numId="30">
    <w:abstractNumId w:val="30"/>
  </w:num>
  <w:num w:numId="31">
    <w:abstractNumId w:val="13"/>
  </w:num>
  <w:num w:numId="32">
    <w:abstractNumId w:val="63"/>
  </w:num>
  <w:num w:numId="33">
    <w:abstractNumId w:val="78"/>
  </w:num>
  <w:num w:numId="34">
    <w:abstractNumId w:val="74"/>
  </w:num>
  <w:num w:numId="35">
    <w:abstractNumId w:val="42"/>
  </w:num>
  <w:num w:numId="36">
    <w:abstractNumId w:val="45"/>
  </w:num>
  <w:num w:numId="37">
    <w:abstractNumId w:val="73"/>
  </w:num>
  <w:num w:numId="38">
    <w:abstractNumId w:val="67"/>
  </w:num>
  <w:num w:numId="39">
    <w:abstractNumId w:val="75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70"/>
  </w:num>
  <w:num w:numId="46">
    <w:abstractNumId w:val="53"/>
  </w:num>
  <w:num w:numId="47">
    <w:abstractNumId w:val="32"/>
  </w:num>
  <w:num w:numId="48">
    <w:abstractNumId w:val="10"/>
  </w:num>
  <w:num w:numId="49">
    <w:abstractNumId w:val="68"/>
  </w:num>
  <w:num w:numId="50">
    <w:abstractNumId w:val="79"/>
  </w:num>
  <w:num w:numId="51">
    <w:abstractNumId w:val="0"/>
  </w:num>
  <w:num w:numId="52">
    <w:abstractNumId w:val="58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2"/>
  </w:num>
  <w:num w:numId="58">
    <w:abstractNumId w:val="34"/>
  </w:num>
  <w:num w:numId="59">
    <w:abstractNumId w:val="60"/>
  </w:num>
  <w:num w:numId="60">
    <w:abstractNumId w:val="57"/>
  </w:num>
  <w:num w:numId="61">
    <w:abstractNumId w:val="44"/>
  </w:num>
  <w:num w:numId="62">
    <w:abstractNumId w:val="77"/>
  </w:num>
  <w:num w:numId="63">
    <w:abstractNumId w:val="2"/>
  </w:num>
  <w:num w:numId="64">
    <w:abstractNumId w:val="59"/>
  </w:num>
  <w:num w:numId="65">
    <w:abstractNumId w:val="11"/>
  </w:num>
  <w:num w:numId="66">
    <w:abstractNumId w:val="69"/>
  </w:num>
  <w:num w:numId="67">
    <w:abstractNumId w:val="47"/>
  </w:num>
  <w:num w:numId="68">
    <w:abstractNumId w:val="33"/>
  </w:num>
  <w:num w:numId="69">
    <w:abstractNumId w:val="16"/>
  </w:num>
  <w:num w:numId="70">
    <w:abstractNumId w:val="46"/>
  </w:num>
  <w:num w:numId="71">
    <w:abstractNumId w:val="76"/>
  </w:num>
  <w:num w:numId="72">
    <w:abstractNumId w:val="1"/>
  </w:num>
  <w:num w:numId="73">
    <w:abstractNumId w:val="39"/>
  </w:num>
  <w:num w:numId="74">
    <w:abstractNumId w:val="84"/>
  </w:num>
  <w:num w:numId="75">
    <w:abstractNumId w:val="18"/>
  </w:num>
  <w:num w:numId="76">
    <w:abstractNumId w:val="66"/>
  </w:num>
  <w:num w:numId="77">
    <w:abstractNumId w:val="62"/>
  </w:num>
  <w:num w:numId="78">
    <w:abstractNumId w:val="26"/>
  </w:num>
  <w:num w:numId="79">
    <w:abstractNumId w:val="51"/>
  </w:num>
  <w:num w:numId="80">
    <w:abstractNumId w:val="43"/>
  </w:num>
  <w:num w:numId="81">
    <w:abstractNumId w:val="8"/>
  </w:num>
  <w:num w:numId="82">
    <w:abstractNumId w:val="50"/>
  </w:num>
  <w:num w:numId="83">
    <w:abstractNumId w:val="3"/>
  </w:num>
  <w:num w:numId="84">
    <w:abstractNumId w:val="38"/>
  </w:num>
  <w:num w:numId="85">
    <w:abstractNumId w:val="81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61B45"/>
    <w:rsid w:val="0077578F"/>
    <w:rsid w:val="00800546"/>
    <w:rsid w:val="00856BE3"/>
    <w:rsid w:val="008D414D"/>
    <w:rsid w:val="008F2749"/>
    <w:rsid w:val="00914C76"/>
    <w:rsid w:val="00967161"/>
    <w:rsid w:val="0098256E"/>
    <w:rsid w:val="009E73BB"/>
    <w:rsid w:val="009F2457"/>
    <w:rsid w:val="00A24264"/>
    <w:rsid w:val="00A81685"/>
    <w:rsid w:val="00AD2400"/>
    <w:rsid w:val="00AE5DFF"/>
    <w:rsid w:val="00AE5F7B"/>
    <w:rsid w:val="00B41744"/>
    <w:rsid w:val="00B52778"/>
    <w:rsid w:val="00BB7487"/>
    <w:rsid w:val="00BD7DB2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83047"/>
    <w:rsid w:val="00E4485E"/>
    <w:rsid w:val="00E80DCA"/>
    <w:rsid w:val="00E83F6D"/>
    <w:rsid w:val="00EE3F3D"/>
    <w:rsid w:val="00F04CBC"/>
    <w:rsid w:val="00F24ADF"/>
    <w:rsid w:val="00FA1762"/>
    <w:rsid w:val="00FA5E0F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70</cp:revision>
  <dcterms:created xsi:type="dcterms:W3CDTF">2020-02-28T11:39:00Z</dcterms:created>
  <dcterms:modified xsi:type="dcterms:W3CDTF">2023-08-07T04:30:00Z</dcterms:modified>
</cp:coreProperties>
</file>