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40"/>
        <w:gridCol w:w="80"/>
        <w:gridCol w:w="1300"/>
        <w:gridCol w:w="200"/>
        <w:gridCol w:w="400"/>
        <w:gridCol w:w="200"/>
        <w:gridCol w:w="500"/>
        <w:gridCol w:w="300"/>
        <w:gridCol w:w="200"/>
        <w:gridCol w:w="200"/>
        <w:gridCol w:w="600"/>
        <w:gridCol w:w="20"/>
        <w:gridCol w:w="180"/>
        <w:gridCol w:w="600"/>
        <w:gridCol w:w="500"/>
        <w:gridCol w:w="200"/>
        <w:gridCol w:w="100"/>
        <w:gridCol w:w="100"/>
        <w:gridCol w:w="300"/>
        <w:gridCol w:w="100"/>
        <w:gridCol w:w="80"/>
        <w:gridCol w:w="320"/>
        <w:gridCol w:w="100"/>
        <w:gridCol w:w="400"/>
        <w:gridCol w:w="500"/>
        <w:gridCol w:w="200"/>
        <w:gridCol w:w="100"/>
        <w:gridCol w:w="100"/>
        <w:gridCol w:w="440"/>
        <w:gridCol w:w="160"/>
        <w:gridCol w:w="40"/>
        <w:gridCol w:w="160"/>
        <w:gridCol w:w="300"/>
        <w:gridCol w:w="200"/>
        <w:gridCol w:w="100"/>
        <w:gridCol w:w="100"/>
        <w:gridCol w:w="800"/>
        <w:gridCol w:w="300"/>
        <w:gridCol w:w="600"/>
        <w:gridCol w:w="100"/>
        <w:gridCol w:w="2300"/>
      </w:tblGrid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  <w:bookmarkStart w:id="0" w:name="JR_PAGE_ANCHOR_0_1"/>
            <w:bookmarkStart w:id="1" w:name="_GoBack"/>
            <w:bookmarkEnd w:id="0"/>
            <w:bookmarkEnd w:id="1"/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500" w:type="dxa"/>
            <w:gridSpan w:val="1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organization"/>
              <w:ind w:left="200" w:right="200"/>
              <w:jc w:val="center"/>
            </w:pPr>
            <w:r>
              <w:t>Информация из Государственного информационного ресурса бухгалтерской (финансовой) отчетности (Ресурса БФО)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Italictableorganization"/>
              <w:jc w:val="center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Дата формирования информации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04.11.2021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Номер выгрузки информации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№ 0710099_4632165780_2020_001_20211104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  <w:jc w:val="center"/>
            </w:pPr>
            <w:r>
              <w:t>Настоящая выгрузка содержит информацию о юридическом лице: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9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Полное наименование юридического лица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  <w:jc w:val="center"/>
            </w:pPr>
            <w:r>
              <w:t>акционерное общество "Курскоблводоканал"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organization"/>
              <w:ind w:left="60" w:right="60"/>
              <w:jc w:val="center"/>
            </w:pPr>
            <w:r>
              <w:t xml:space="preserve"> 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1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organization"/>
              <w:spacing w:before="60"/>
              <w:ind w:left="200" w:right="200"/>
              <w:jc w:val="center"/>
            </w:pPr>
            <w:r>
              <w:t>включенная в Государственный информационный ресурс бухгалтерской (финансовой) отчетности по состоянию на 04.11.2021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organization"/>
              <w:spacing w:before="60"/>
              <w:ind w:left="60" w:right="60"/>
              <w:jc w:val="center"/>
            </w:pPr>
            <w:r>
              <w:t xml:space="preserve"> 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ИНН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4632165780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КПП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463201001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Код по ОКПО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30872915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Форма собственности (по ОКФС)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13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Организационно-правовая форма (по ОКОПФ)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12267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Вид экономической деятельности по ОКВЭД 2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36.00.1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Местонахождение (адрес)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305040, Курская обл, Курск г, 50 лет Октября ул, д. № 116, корп. д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Единица измерения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rPr>
                <w:u w:val="single"/>
              </w:rPr>
              <w:t>Тыс. руб.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Бухгалтерская отчетность подлежит обязательному аудиту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Да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Наименование аудиторской организации/ФИО индивидуального аудитора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ООО АКФ "Демидов и Аксенцев"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ИНН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4629048491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ОГРН/ОГРНИП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organization"/>
              <w:spacing w:before="60"/>
              <w:ind w:left="60" w:right="60"/>
            </w:pPr>
            <w:r>
              <w:t>1024600954916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C313A5"/>
        </w:tc>
        <w:tc>
          <w:tcPr>
            <w:tcW w:w="198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500" w:type="dxa"/>
            <w:gridSpan w:val="1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3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500" w:type="dxa"/>
            <w:gridSpan w:val="1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1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500" w:type="dxa"/>
            <w:gridSpan w:val="1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2" w:name="JR_PAGE_ANCHOR_0_2"/>
            <w:bookmarkEnd w:id="2"/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balance"/>
            </w:pPr>
            <w:r>
              <w:t>ИНН   4632165780</w:t>
            </w:r>
          </w:p>
        </w:tc>
        <w:tc>
          <w:tcPr>
            <w:tcW w:w="14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balance"/>
            </w:pPr>
            <w:r>
              <w:rPr>
                <w:b/>
              </w:rP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balance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balance"/>
            </w:pPr>
            <w:r>
              <w:t>КПП   463201001</w:t>
            </w:r>
          </w:p>
        </w:tc>
        <w:tc>
          <w:tcPr>
            <w:tcW w:w="14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balance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balance"/>
              <w:jc w:val="right"/>
            </w:pPr>
            <w:r>
              <w:t>0710001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313A5" w:rsidRDefault="007316FB">
            <w:pPr>
              <w:pStyle w:val="Boldwithouttablebalance"/>
              <w:jc w:val="center"/>
            </w:pPr>
            <w:r>
              <w:rPr>
                <w:sz w:val="24"/>
              </w:rPr>
              <w:t>Бухгалтерский баланс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balance"/>
              <w:jc w:val="center"/>
            </w:pPr>
            <w:r>
              <w:rPr>
                <w:sz w:val="24"/>
              </w:rPr>
              <w:t>На 31 декабря 2020 г.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1</w:t>
            </w: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20" w:right="20"/>
              <w:jc w:val="center"/>
            </w:pPr>
            <w:r>
              <w:t>Код строки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На 31 декабря 2020 г.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На 31 декабря 2019 г.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На 31 декабря 2018 г.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1</w:t>
            </w: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2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3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4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5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6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60"/>
              <w:ind w:left="60" w:right="60"/>
              <w:jc w:val="center"/>
            </w:pPr>
            <w:r>
              <w:t>Актив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60"/>
              <w:ind w:left="60" w:right="60"/>
              <w:jc w:val="center"/>
            </w:pPr>
            <w:r>
              <w:t>I. Внеоборотные активы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Нематериальные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Результаты исследований и разработок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Нематериальные поисковые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1130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Материальные поисковые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1140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Основные средства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2 172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3 722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5 374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Доходные вложения в материальные ценности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1160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Финансовые вложения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1170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Отложенные налоговые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1180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42 793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31 395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22 284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Прочие внеоборотные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1190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Итого по разделу I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1100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44 965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35 118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27 658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20"/>
              <w:ind w:left="60" w:right="60"/>
              <w:jc w:val="center"/>
            </w:pPr>
            <w:r>
              <w:t>II. Оборотные активы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Запасы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1210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1 695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3 671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1 073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Налог на добавленную стоимость по приобретенным ценностям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1220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Дебиторская задолженность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1230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22 615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21 002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24 478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Финансовые вложения (за исключением денежных эквивалентов)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1240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104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4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Денежные средства и денежные эквиваленты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1250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715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935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53 608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Прочие оборотные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1260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171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59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72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20"/>
              <w:ind w:left="60" w:right="60"/>
            </w:pPr>
            <w:r>
              <w:t>Итого по разделу II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1200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25 299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25 671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79 230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20"/>
              <w:ind w:left="60" w:right="60"/>
            </w:pPr>
            <w:r>
              <w:t>БАЛАНС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1600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70 264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60 789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106 889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2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2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3" w:name="JR_PAGE_ANCHOR_0_3"/>
            <w:bookmarkEnd w:id="3"/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1</w:t>
            </w: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20" w:right="20"/>
              <w:jc w:val="center"/>
            </w:pPr>
            <w:r>
              <w:t>Код строки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На 31 декабря 2020 г.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На 31 декабря 2019 г.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На 31 декабря 2018 г.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1</w:t>
            </w: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2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3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4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5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balance"/>
              <w:ind w:left="60" w:right="60"/>
              <w:jc w:val="center"/>
            </w:pPr>
            <w:r>
              <w:t>6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60"/>
              <w:ind w:left="60" w:right="60"/>
              <w:jc w:val="center"/>
            </w:pPr>
            <w:r>
              <w:t>Пассив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20"/>
              <w:ind w:left="60" w:right="60"/>
              <w:jc w:val="center"/>
            </w:pPr>
            <w:r>
              <w:t>III. Капитал и резервы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Уставный капитал (складочный капитал, уставный фонд, вклады товарищей)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1310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63 440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63 440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13 065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Собственные акции, выкупленные у акционеров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1320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(-)</w:t>
            </w:r>
            <w:r>
              <w:rPr>
                <w:vertAlign w:val="superscript"/>
              </w:rPr>
              <w:t>2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(-)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(-)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Переоценка внеоборотных активов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1340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Добавочный капитал (без переоценки)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1350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Резервный капитал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1360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Нераспределенная прибыль (непокрытый убыток)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1370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(180 226)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(141 178)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(98 899)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rPr>
                <w:b/>
              </w:rPr>
              <w:t>Итого по разделу III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1300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(116 786)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(77 738)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(85 834)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20"/>
              <w:ind w:left="60" w:right="60"/>
              <w:jc w:val="center"/>
            </w:pPr>
            <w:r>
              <w:t>IV. Долгосрочные обязательства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Заемные средства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1410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Отложенные налоговые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1420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Оценочные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1430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Прочие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1450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20"/>
              <w:ind w:left="60" w:right="60"/>
            </w:pPr>
            <w:r>
              <w:t>Итого по разделу IV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1400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20"/>
              <w:ind w:left="60" w:right="60"/>
              <w:jc w:val="center"/>
            </w:pPr>
            <w:r>
              <w:t>V. Краткосрочные обязательства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Заемные средства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1510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126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Кредиторская задолженность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1520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187 050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138 527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190 917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Доходы будущих периодов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1530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313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Оценочные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1540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1 367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</w:pPr>
            <w:r>
              <w:t>Прочие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1550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20"/>
              <w:ind w:left="60" w:right="60"/>
            </w:pPr>
            <w:r>
              <w:t>Итого по разделу V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1500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187 050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138 527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192 723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balance"/>
              <w:spacing w:before="20"/>
              <w:ind w:left="60" w:right="60"/>
            </w:pPr>
            <w:r>
              <w:t>БАЛАНС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20" w:right="20"/>
              <w:jc w:val="center"/>
            </w:pPr>
            <w:r>
              <w:t>1700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70 264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60 789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balance"/>
              <w:spacing w:before="20"/>
              <w:ind w:left="60" w:right="60"/>
              <w:jc w:val="center"/>
            </w:pPr>
            <w:r>
              <w:t>106 889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00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9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balance"/>
            </w:pPr>
            <w:r>
              <w:t>Примечания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t xml:space="preserve"> Указывается номер соответствующего пояснения.</w:t>
            </w:r>
            <w:r>
              <w:br/>
            </w:r>
            <w:r>
              <w:rPr>
                <w:vertAlign w:val="superscript"/>
              </w:rPr>
              <w:t>2</w:t>
            </w:r>
            <w:r>
              <w:t xml:space="preserve"> Здесь и в других формах отчетов вычитаемый или отрицательный показатель показывается в круглых скобках.</w:t>
            </w:r>
            <w:r>
              <w:br/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C313A5"/>
        </w:tc>
        <w:tc>
          <w:tcPr>
            <w:tcW w:w="138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3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3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4" w:name="JR_PAGE_ANCHOR_0_4"/>
            <w:bookmarkEnd w:id="4"/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finres"/>
            </w:pPr>
            <w:r>
              <w:t>ИНН   4632165780</w:t>
            </w: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finres"/>
            </w:pPr>
            <w: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finres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finres"/>
            </w:pPr>
            <w:r>
              <w:t>КПП   463201001</w:t>
            </w: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finres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finres"/>
              <w:jc w:val="right"/>
            </w:pPr>
            <w:r>
              <w:t>0710002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313A5" w:rsidRDefault="007316FB">
            <w:pPr>
              <w:pStyle w:val="Boldwithouttablefinres"/>
              <w:jc w:val="center"/>
            </w:pPr>
            <w:r>
              <w:rPr>
                <w:sz w:val="24"/>
              </w:rPr>
              <w:t>Отчет о финансовых результатах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finres"/>
              <w:jc w:val="center"/>
            </w:pPr>
            <w:r>
              <w:rPr>
                <w:sz w:val="24"/>
              </w:rPr>
              <w:t>За 2020 г.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За 2020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За 2019 г.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1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4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5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Выручка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2110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80 100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62 437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Себестоимость продаж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2120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(98 025)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(83 012)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Валовая прибыль (убыток)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2100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(17 925)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(20 575)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Коммерческие расходы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2210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Управленческие расходы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2220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(31 300)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(22 668)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Прибыль (убыток) от продаж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2200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(49 225)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(43 243)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Доходы от участия в других организациях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2310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Проценты к получению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2320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7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Проценты к уплате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2330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Прочие доходы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2340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24 845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15 112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Прочие расходы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2350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(25 274)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(22 730)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finres"/>
              <w:spacing w:before="60"/>
              <w:ind w:left="60" w:right="60"/>
            </w:pPr>
            <w:r>
              <w:t>Прибыль (убыток) до налогообложения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2300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(49 654)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(50 854)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Налог на прибыль</w:t>
            </w:r>
            <w:r>
              <w:rPr>
                <w:vertAlign w:val="superscript"/>
              </w:rPr>
              <w:t>5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2410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11 728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9 110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в т.ч.:</w:t>
            </w:r>
            <w:r>
              <w:br/>
              <w:t>текущий налог на прибыль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2411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(0)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(1)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отложенный налог на прибыль</w:t>
            </w:r>
            <w:r>
              <w:rPr>
                <w:vertAlign w:val="superscript"/>
              </w:rPr>
              <w:t>6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2412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11 728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9 111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Прочее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2460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(1 123)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(894)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finres"/>
              <w:spacing w:before="60"/>
              <w:ind w:left="60" w:right="60"/>
            </w:pPr>
            <w:r>
              <w:t>Чистая прибыль (убыток)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2400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(39 049)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(42 638)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1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Результат от переоценки внеоборотных активов, не включаемый в чистую прибыль (убыток) периода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2510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2520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9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Налог на прибыль от операций, результат которых не включается в чистую прибыль (убыток) периода</w:t>
            </w:r>
            <w:r>
              <w:rPr>
                <w:vertAlign w:val="superscript"/>
              </w:rPr>
              <w:t>5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2530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Совокупный финансовый результат периода</w:t>
            </w:r>
            <w:r>
              <w:rPr>
                <w:vertAlign w:val="superscript"/>
              </w:rPr>
              <w:t>7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2500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(39 049)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(42 638)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4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4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5" w:name="JR_PAGE_ANCHOR_0_5"/>
            <w:bookmarkEnd w:id="5"/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За 2020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За 2019 г.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1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4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"/>
              <w:ind w:left="60" w:right="60"/>
              <w:jc w:val="center"/>
            </w:pPr>
            <w:r>
              <w:t>5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finres"/>
              <w:spacing w:before="60"/>
              <w:ind w:left="60" w:right="60"/>
            </w:pPr>
            <w:r>
              <w:t>СПРАВОЧНО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Базовая прибыль (убыток) на акцию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2900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</w:pPr>
            <w:r>
              <w:t>Разводненная прибыль (убыток) на акцию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2910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00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23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finres"/>
            </w:pPr>
            <w:r>
              <w:t>Примечания</w:t>
            </w:r>
            <w:r>
              <w:br/>
            </w:r>
            <w:r>
              <w:rPr>
                <w:vertAlign w:val="superscript"/>
              </w:rPr>
              <w:t>3</w:t>
            </w:r>
            <w:r>
              <w:t xml:space="preserve"> Указывается номер соответствующего пояснения.</w:t>
            </w:r>
            <w:r>
              <w:br/>
            </w:r>
            <w:r>
              <w:rPr>
                <w:vertAlign w:val="superscript"/>
              </w:rPr>
              <w:t>4</w:t>
            </w:r>
            <w:r>
              <w:t xml:space="preserve"> Выручка отражается за минусом налога на добавленную стоимость, акцизов.</w:t>
            </w:r>
            <w:r>
              <w:br/>
            </w:r>
            <w:r>
              <w:rPr>
                <w:vertAlign w:val="superscript"/>
              </w:rPr>
              <w:t>5</w:t>
            </w:r>
            <w:r>
              <w:t xml:space="preserve"> Отражается расход (доход) по налогу на прибыль.</w:t>
            </w:r>
            <w:r>
              <w:br/>
            </w:r>
            <w:r>
              <w:rPr>
                <w:vertAlign w:val="superscript"/>
              </w:rPr>
              <w:t>6</w:t>
            </w:r>
            <w:r>
              <w:t xml:space="preserve"> Отражается суммарная величина изменений отложенных налоговых активов и отложенных налоговых обязательств за отчетный период.</w:t>
            </w:r>
            <w:r>
              <w:br/>
            </w:r>
            <w:r>
              <w:rPr>
                <w:vertAlign w:val="superscript"/>
              </w:rPr>
              <w:t>7</w:t>
            </w:r>
            <w:r>
              <w:t xml:space="preserve"> Совокупный финансовый результат периода определяется как сумма строк "Чистая прибыль (убыток)", "Результат от переоценки внеобор</w:t>
            </w:r>
            <w:r>
              <w:t>отных активов, не включаемый в чистую прибыль (убыток) периода" и "Результат от прочих операций, не включаемый в чистую прибыль (убыток) периода", "Налог на прибыль от операций, результат которых не включается в чистую прибыль (убыток) периода".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withouttablefinresadd"/>
              <w:jc w:val="center"/>
            </w:pPr>
            <w:r>
              <w:rPr>
                <w:sz w:val="24"/>
              </w:rPr>
              <w:t>Дополнительные строки отчета о финансовых результатах</w:t>
            </w: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finresadd"/>
            </w:pPr>
            <w:r>
              <w:rPr>
                <w:i/>
              </w:rPr>
              <w:t>Лист представляется за отчетный период 2020 года при принятии организацией</w:t>
            </w:r>
            <w:r>
              <w:rPr>
                <w:i/>
              </w:rPr>
              <w:br/>
              <w:t>решения о неприменении изменений, предусмотренных пунктом 2 приказа Минфина от</w:t>
            </w:r>
            <w:r>
              <w:rPr>
                <w:i/>
              </w:rPr>
              <w:br/>
              <w:t>19.04.2019 г. №61н "</w:t>
            </w:r>
            <w:r>
              <w:rPr>
                <w:i/>
              </w:rPr>
              <w:t>О внесении изменений в приказ Министерства финансов Российской</w:t>
            </w:r>
            <w:r>
              <w:rPr>
                <w:i/>
              </w:rPr>
              <w:br/>
              <w:t>Федерации от 02.07.2010 г. № 66н "О формах бухгалтерской отчетности организаций",</w:t>
            </w:r>
            <w:r>
              <w:rPr>
                <w:i/>
              </w:rPr>
              <w:br/>
              <w:t>до указанного в данном пункте срока"</w:t>
            </w: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Пояснения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За 2020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За 2019 г.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1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4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inresadd"/>
              <w:ind w:left="60" w:right="60"/>
              <w:jc w:val="center"/>
            </w:pPr>
            <w:r>
              <w:t>5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</w:pPr>
            <w:r>
              <w:t xml:space="preserve"> 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</w:pPr>
            <w:r>
              <w:t>Текущий налог на прибыль</w:t>
            </w:r>
            <w:r>
              <w:rPr>
                <w:vertAlign w:val="superscript"/>
              </w:rPr>
              <w:t>8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2410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 xml:space="preserve"> 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 xml:space="preserve"> 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add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</w:pPr>
            <w:r>
              <w:t>в т.ч. постоянные налоговые обязательства (активы)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2421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add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</w:pPr>
            <w:r>
              <w:t>Изменение отложенных налоговых обязательств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2430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finresadd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</w:pPr>
            <w:r>
              <w:t>Изменение отложенных налоговых активов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2450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inresadd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00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finresadd"/>
            </w:pPr>
            <w:r>
              <w:rPr>
                <w:vertAlign w:val="superscript"/>
              </w:rPr>
              <w:t>8</w:t>
            </w:r>
            <w:r>
              <w:t xml:space="preserve"> Значения показателя заполняются по коду строки 2411 отчета о финансовых результатах.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C313A5"/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40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5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6" w:name="JR_PAGE_ANCHOR_0_6"/>
            <w:bookmarkEnd w:id="6"/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500" w:type="dxa"/>
            <w:gridSpan w:val="8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tfu"/>
            </w:pPr>
            <w:r>
              <w:t>ИНН   4632165780</w:t>
            </w:r>
          </w:p>
        </w:tc>
        <w:tc>
          <w:tcPr>
            <w:tcW w:w="4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tfu"/>
            </w:pPr>
            <w: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tfu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tfu"/>
            </w:pPr>
            <w:r>
              <w:t>КПП   463201001</w:t>
            </w:r>
          </w:p>
        </w:tc>
        <w:tc>
          <w:tcPr>
            <w:tcW w:w="4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tfu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tfu"/>
              <w:jc w:val="right"/>
            </w:pPr>
            <w:r>
              <w:t>0710003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withouttabletfu"/>
              <w:jc w:val="center"/>
            </w:pPr>
            <w:r>
              <w:rPr>
                <w:sz w:val="24"/>
              </w:rPr>
              <w:t>Отчет о целевом использовании средств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tfu"/>
              <w:jc w:val="center"/>
            </w:pPr>
            <w:r>
              <w:rPr>
                <w:sz w:val="24"/>
              </w:rPr>
              <w:t>За 2020 г.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9</w:t>
            </w: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За 2020 г.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За 2019 г.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1</w:t>
            </w: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3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4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5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tfu"/>
              <w:spacing w:before="60"/>
              <w:ind w:left="60" w:right="60"/>
            </w:pPr>
            <w:r>
              <w:t>Остаток средств на начало отчетного года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6100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tfu"/>
              <w:spacing w:before="60"/>
              <w:ind w:left="60" w:right="60"/>
            </w:pPr>
            <w:r>
              <w:t>Поступило средств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Вступительные взносы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6210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Членские взносы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6215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Целевые взносы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6220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Добровольные имущественные взносы и пожертвования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6230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Прибыль от приносящей доход деятельности организации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6240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Прочие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6250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Всего поступило средств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6200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tfu"/>
              <w:spacing w:before="60"/>
              <w:ind w:left="60" w:right="60"/>
            </w:pPr>
            <w:r>
              <w:t>Использовано средств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Расходы на целевые мероприятия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6310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в том числе:</w:t>
            </w:r>
            <w:r>
              <w:br/>
              <w:t>социальная и благотворительная помощь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6311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проведение конференций, совещаний, семинаров и т.п.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6312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иные мероприятия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6313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Расходы на содержание аппарата управления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6320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в том числе:</w:t>
            </w:r>
            <w:r>
              <w:br/>
              <w:t>расходы, связанные с оплатой труда (включая начисления)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6321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выплаты, не связанные с оплатой труда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6322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расходы на служебные командировки и деловые поездки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6323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содержание помещений, зданий, автомобильного транспорта и иного имущества (кроме ремонта)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6324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ремонт основных средств и иного имущества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6325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0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500" w:type="dxa"/>
            <w:gridSpan w:val="8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6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500" w:type="dxa"/>
            <w:gridSpan w:val="8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7" w:name="JR_PAGE_ANCHOR_0_7"/>
            <w:bookmarkEnd w:id="7"/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9</w:t>
            </w: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За 2020 г.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За 2019 г.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1</w:t>
            </w: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3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4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tfu"/>
              <w:ind w:left="60" w:right="60"/>
              <w:jc w:val="center"/>
            </w:pPr>
            <w:r>
              <w:t>5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прочие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6326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Приобретение основных средств, инвентаря и иного имущества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6330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Прочие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6350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</w:pPr>
            <w:r>
              <w:t>Всего использовано средств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6300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Bold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tfu"/>
              <w:spacing w:before="60"/>
              <w:ind w:left="60" w:right="60"/>
            </w:pPr>
            <w:r>
              <w:t>Остаток средств на конец отчетного года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tfu"/>
              <w:spacing w:before="60"/>
              <w:ind w:left="60" w:right="60"/>
              <w:jc w:val="center"/>
            </w:pPr>
            <w:r>
              <w:t>6400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tfu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400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9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tfu"/>
            </w:pPr>
            <w:r>
              <w:t>Примечания</w:t>
            </w:r>
            <w:r>
              <w:br/>
            </w:r>
            <w:r>
              <w:rPr>
                <w:vertAlign w:val="superscript"/>
              </w:rPr>
              <w:t>9</w:t>
            </w:r>
            <w:r>
              <w:t xml:space="preserve"> Указывается номер соответствующего пояснения. При этом информация о доходах и расходах, движении денежных средств раскрывается с учетом существенности применительно к составу показателей отчета о финансовых результатах и отчета о движении денежных средств</w:t>
            </w:r>
            <w:r>
              <w:t xml:space="preserve"> соответственно, согласно форме по ОКУД 0710002 и 0710005.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C313A5"/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02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4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7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9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capitalchange"/>
            </w:pPr>
            <w:r>
              <w:t>ИНН   4632165780</w:t>
            </w: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capitalchange"/>
            </w:pPr>
            <w: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capitalchange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capitalchange"/>
            </w:pPr>
            <w:r>
              <w:t>КПП   463201001</w:t>
            </w: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capitalchange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capitalchange"/>
              <w:jc w:val="right"/>
            </w:pPr>
            <w:r>
              <w:t>0710004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313A5" w:rsidRDefault="007316FB">
            <w:pPr>
              <w:pStyle w:val="Boldwithouttablecapitalchange"/>
              <w:jc w:val="center"/>
            </w:pPr>
            <w:r>
              <w:rPr>
                <w:sz w:val="24"/>
              </w:rPr>
              <w:t>Отчет об изменениях капитала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capitalchange"/>
              <w:jc w:val="center"/>
            </w:pPr>
            <w:r>
              <w:rPr>
                <w:sz w:val="24"/>
              </w:rPr>
              <w:t>За 2020 г.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1"/>
              <w:ind w:left="60" w:right="60"/>
              <w:jc w:val="center"/>
            </w:pPr>
            <w:r>
              <w:t>1. Движение капитала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0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Уставной капитал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Собственные акции, выкупленные у акционеров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Добавочный капитал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Резервный капитал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Нераспределенная прибыль (непокрытый убыток)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Итого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1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4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5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6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7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8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1"/>
              <w:spacing w:before="60"/>
              <w:ind w:left="60" w:right="60"/>
            </w:pPr>
            <w:r>
              <w:t>Величина капитала на 31 декабря 2018 г.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3100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13 065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(98 899)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(85 834)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1"/>
              <w:spacing w:before="60"/>
              <w:ind w:left="60" w:right="60"/>
            </w:pPr>
            <w:r>
              <w:t>За 2019 г.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Увеличение капитала - всего: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3210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50 375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50 375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в том числе:</w:t>
            </w:r>
            <w:r>
              <w:br/>
            </w:r>
            <w:r>
              <w:t xml:space="preserve">       чистая прибыль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3211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переоценка имущества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3212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доходы, относящиеся непосредственно на увеличение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3213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дополнительный выпуск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3214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50 375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50 375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увеличение номинальной стоимости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3215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реорганизация юридического лица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3216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Уменьшение капитала - всего: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3220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(0)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(42 279)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(42 279)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 убыток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3221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(42 279)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(42 279)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переоценка имущества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3222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расходы, относящиеся непосредственно на уменьшение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3223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уменьшение номинальной стоимости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3224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уменьшение количества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3225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реорганизация юридического лица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3226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дивиденды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3227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Изменение добавочного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3230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Изменение резервного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3240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9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8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9" w:name="JR_PAGE_ANCHOR_0_9"/>
            <w:bookmarkEnd w:id="9"/>
          </w:p>
        </w:tc>
        <w:tc>
          <w:tcPr>
            <w:tcW w:w="20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  <w:gridSpan w:val="8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1"/>
              <w:ind w:left="60" w:right="60"/>
              <w:jc w:val="center"/>
            </w:pPr>
            <w:r>
              <w:t>1. Движение капитала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0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Уставной капитал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Собственные акции, выкупленные у акционеров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Добавочный капитал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Резервный капитал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Нераспределенная прибыль (непокрытый убыток)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Итого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1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4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5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6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7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1"/>
              <w:ind w:left="60" w:right="60"/>
              <w:jc w:val="center"/>
            </w:pPr>
            <w:r>
              <w:t>8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1"/>
              <w:spacing w:before="60"/>
              <w:ind w:left="60" w:right="60"/>
            </w:pPr>
            <w:r>
              <w:t>Величина капитала на 31 декабря 2019 г.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3200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63 440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(141 178)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(77 738)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1"/>
              <w:spacing w:before="60"/>
              <w:ind w:left="60" w:right="60"/>
            </w:pPr>
            <w:r>
              <w:t>За 2020 г.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Увеличение капитала - всего: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3310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 чистая прибыль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3311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переоценка имущества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3312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доходы, относящиеся непосредственно на увеличение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3313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дополнительный выпуск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3314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увеличение номинальной стоимости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3315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реорганизация юридического лица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3316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Уменьшение капитала - всего: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3320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(0)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(39 048)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(39 048)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 убыток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3321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(39 048)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(39 048)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переоценка имущества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3322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расходы, относящиеся непосредственно на уменьшение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3323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уменьшение номинальной стоимости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3324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уменьшение количества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3325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реорганизация юридического лица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3326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400" w:right="60"/>
            </w:pPr>
            <w:r>
              <w:t>дивиденды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3327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Изменение добавочного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3330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</w:pPr>
            <w:r>
              <w:t>Изменение резервного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3340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1"/>
              <w:spacing w:before="60"/>
              <w:ind w:left="60" w:right="60"/>
            </w:pPr>
            <w:r>
              <w:t>Величина капитала на 31 декабря 2020 г.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3300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63 440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(180 226)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1"/>
              <w:spacing w:before="60"/>
              <w:ind w:left="60" w:right="60"/>
              <w:jc w:val="center"/>
            </w:pPr>
            <w:r>
              <w:t>(116 786)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  <w:gridSpan w:val="8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9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300" w:type="dxa"/>
            <w:gridSpan w:val="8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8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2"/>
              <w:ind w:left="60" w:right="60"/>
              <w:jc w:val="center"/>
            </w:pPr>
            <w:r>
              <w:t>2. Корректировки в связи с изменением учетной политики и исправлением ошибок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800" w:type="dxa"/>
            <w:gridSpan w:val="3"/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800" w:type="dxa"/>
            <w:gridSpan w:val="6"/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На 31 декабря 2018 г.</w:t>
            </w:r>
          </w:p>
        </w:tc>
        <w:tc>
          <w:tcPr>
            <w:tcW w:w="3000" w:type="dxa"/>
            <w:gridSpan w:val="1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Изменение капитала за 2019 г.</w:t>
            </w:r>
          </w:p>
        </w:tc>
        <w:tc>
          <w:tcPr>
            <w:tcW w:w="1500" w:type="dxa"/>
            <w:gridSpan w:val="5"/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На 31 декабря 2019 г.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vMerge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6"/>
            <w:vMerge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100" w:right="100"/>
              <w:jc w:val="center"/>
            </w:pPr>
            <w:r>
              <w:t>За счет чистой прибыли (убытка)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За счет иных факторов</w:t>
            </w:r>
          </w:p>
        </w:tc>
        <w:tc>
          <w:tcPr>
            <w:tcW w:w="1500" w:type="dxa"/>
            <w:gridSpan w:val="5"/>
            <w:vMerge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1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3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4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5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ind w:left="60" w:right="60"/>
              <w:jc w:val="center"/>
            </w:pPr>
            <w:r>
              <w:t>6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2"/>
              <w:spacing w:before="60"/>
              <w:ind w:left="60" w:right="60"/>
            </w:pPr>
            <w:r>
              <w:t>Капитал - всего: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</w:pPr>
            <w:r>
              <w:t>до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3400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</w:pPr>
            <w:r>
              <w:t>корректировка в связи с:</w:t>
            </w:r>
            <w:r>
              <w:br/>
              <w:t xml:space="preserve">       изменением учетной</w:t>
            </w:r>
            <w:r>
              <w:br/>
              <w:t xml:space="preserve">       политики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3410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400" w:right="60"/>
            </w:pPr>
            <w:r>
              <w:t>исправлением ошибок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3420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</w:pPr>
            <w:r>
              <w:t>после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3500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2"/>
              <w:spacing w:before="60"/>
              <w:ind w:left="60" w:right="60"/>
            </w:pPr>
            <w:r>
              <w:t>в том числе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ind w:left="60" w:right="60"/>
            </w:pPr>
            <w:r>
              <w:t>нераспределенная прибыль (непокрытый убыток):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</w:pPr>
            <w:r>
              <w:t>до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3401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</w:pPr>
            <w:r>
              <w:t>корректировка в связи с:</w:t>
            </w:r>
            <w:r>
              <w:br/>
              <w:t xml:space="preserve">       изменением учетной</w:t>
            </w:r>
            <w:r>
              <w:br/>
              <w:t xml:space="preserve">       политики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3411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400" w:right="60"/>
            </w:pPr>
            <w:r>
              <w:t>исправлением ошибок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3421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</w:pPr>
            <w:r>
              <w:t>после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3501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0" w:type="dxa"/>
            <w:gridSpan w:val="24"/>
            <w:tcBorders>
              <w:top w:val="dotted" w:sz="1" w:space="0" w:color="000000"/>
              <w:left w:val="dotted" w:sz="1" w:space="0" w:color="000000"/>
              <w:bottom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/>
            </w:pPr>
            <w:r>
              <w:t>другие статьи капитала, по которым осуществлены корректировки</w:t>
            </w:r>
          </w:p>
        </w:tc>
        <w:tc>
          <w:tcPr>
            <w:tcW w:w="3500" w:type="dxa"/>
            <w:gridSpan w:val="14"/>
            <w:tcBorders>
              <w:top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2"/>
              <w:spacing w:before="60"/>
              <w:ind w:right="60"/>
            </w:pPr>
            <w:r>
              <w:t>(по статьям):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</w:pPr>
            <w:r>
              <w:t>до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3402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</w:pPr>
            <w:r>
              <w:t>корректировка в связи с:</w:t>
            </w:r>
            <w:r>
              <w:br/>
              <w:t xml:space="preserve">       изменением учетной</w:t>
            </w:r>
            <w:r>
              <w:br/>
            </w:r>
            <w:r>
              <w:t xml:space="preserve">       политики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3412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400" w:right="60"/>
            </w:pPr>
            <w:r>
              <w:t>исправлением ошибок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3422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</w:pPr>
            <w:r>
              <w:t>после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3502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capitalchange3"/>
              <w:ind w:left="60" w:right="60"/>
              <w:jc w:val="center"/>
            </w:pPr>
            <w:r>
              <w:t>3. Чистые активы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20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3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82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3"/>
              <w:ind w:left="60" w:right="60"/>
              <w:jc w:val="center"/>
            </w:pPr>
            <w:r>
              <w:t>Код строк</w:t>
            </w:r>
          </w:p>
        </w:tc>
        <w:tc>
          <w:tcPr>
            <w:tcW w:w="216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3"/>
              <w:ind w:left="60" w:right="60"/>
              <w:jc w:val="center"/>
            </w:pPr>
            <w:r>
              <w:t>На 31 декабря 2020 г.</w:t>
            </w:r>
          </w:p>
        </w:tc>
        <w:tc>
          <w:tcPr>
            <w:tcW w:w="216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3"/>
              <w:ind w:left="60" w:right="60"/>
              <w:jc w:val="center"/>
            </w:pPr>
            <w:r>
              <w:t>На 31 декабря 2019 г.</w:t>
            </w:r>
          </w:p>
        </w:tc>
        <w:tc>
          <w:tcPr>
            <w:tcW w:w="216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capitalchange3"/>
              <w:ind w:left="100" w:right="100"/>
              <w:jc w:val="center"/>
            </w:pPr>
            <w:r>
              <w:t>На 31 декабря 2018 г.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20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3"/>
              <w:spacing w:before="60"/>
              <w:ind w:left="60" w:right="60"/>
            </w:pPr>
            <w:r>
              <w:t>Чистые активы</w:t>
            </w:r>
          </w:p>
        </w:tc>
        <w:tc>
          <w:tcPr>
            <w:tcW w:w="82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3"/>
              <w:spacing w:before="60"/>
              <w:ind w:left="60" w:right="60"/>
              <w:jc w:val="center"/>
            </w:pPr>
            <w:r>
              <w:t>3600</w:t>
            </w:r>
          </w:p>
        </w:tc>
        <w:tc>
          <w:tcPr>
            <w:tcW w:w="216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3"/>
              <w:spacing w:before="60"/>
              <w:ind w:left="60" w:right="60"/>
              <w:jc w:val="center"/>
            </w:pPr>
            <w:r>
              <w:t>(116 786)</w:t>
            </w:r>
          </w:p>
        </w:tc>
        <w:tc>
          <w:tcPr>
            <w:tcW w:w="216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3"/>
              <w:spacing w:before="60"/>
              <w:ind w:left="60" w:right="60"/>
              <w:jc w:val="center"/>
            </w:pPr>
            <w:r>
              <w:t>(77 738)</w:t>
            </w:r>
          </w:p>
        </w:tc>
        <w:tc>
          <w:tcPr>
            <w:tcW w:w="216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capitalchange3"/>
              <w:spacing w:before="60"/>
              <w:ind w:left="60" w:right="60"/>
              <w:jc w:val="center"/>
            </w:pPr>
            <w:r>
              <w:t>(85 521)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C313A5"/>
        </w:tc>
        <w:tc>
          <w:tcPr>
            <w:tcW w:w="198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8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8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8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64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10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8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11" w:name="JR_PAGE_ANCHOR_0_11"/>
            <w:bookmarkEnd w:id="11"/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9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fundsmovement"/>
            </w:pPr>
            <w:r>
              <w:t>ИНН   4632165780</w:t>
            </w: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fundsmovement"/>
            </w:pPr>
            <w: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fundsmovement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withouttablefundsmovement"/>
            </w:pPr>
            <w:r>
              <w:t>КПП   463201001</w:t>
            </w: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fundsmovement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Boldwithouttablefundsmovement"/>
              <w:jc w:val="right"/>
            </w:pPr>
            <w:r>
              <w:t>0710005</w:t>
            </w: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313A5" w:rsidRDefault="007316FB">
            <w:pPr>
              <w:pStyle w:val="Boldwithouttablefundsmovement"/>
              <w:jc w:val="center"/>
            </w:pPr>
            <w:r>
              <w:rPr>
                <w:sz w:val="24"/>
              </w:rPr>
              <w:t>Отчет о движении денежных средств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withouttablefundsmovement"/>
              <w:jc w:val="center"/>
            </w:pPr>
            <w:r>
              <w:rPr>
                <w:sz w:val="24"/>
              </w:rPr>
              <w:t>За 2020 г.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За 2020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За 2019 г.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1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3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4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fundsmovement"/>
              <w:spacing w:before="60"/>
              <w:ind w:left="60" w:right="60"/>
            </w:pPr>
            <w:r>
              <w:t>Денежные потоки от текущих операций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Поступления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91 198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63 290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</w:r>
            <w:r>
              <w:t xml:space="preserve">      От продажи продукции, товаров, работ и услуг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4111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87 857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51 061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арендных платежей, лицензионных платежей, роялти, комиссионных и иных аналогичных платежей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4112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от перепродажи финансовых вложений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4113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прочие поступления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4119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3 341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12 229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Платежи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(91 418)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(115 963)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поставщикам (подрядчикам) за сырье,</w:t>
            </w:r>
            <w:r>
              <w:br/>
              <w:t xml:space="preserve">      материалы, работы, услуги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4121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(20 518)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(37 085)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в связи с оплатой труда работников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4122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(33 298)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(30 317)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процентов по долговым обязательствам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4123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налог на прибыль организаций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4124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прочие платежи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4129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(37 602)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(48 561)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Сальдо денежных потоков от текущих операций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4100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(220)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(52 673)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fundsmovement"/>
              <w:spacing w:before="60"/>
              <w:ind w:left="60" w:right="60"/>
            </w:pPr>
            <w:r>
              <w:t>Денежные потоки от инвестиционных операций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Поступления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в том числе</w:t>
            </w:r>
            <w:r>
              <w:br/>
              <w:t xml:space="preserve">      от продажи внеоборотных активов (кроме</w:t>
            </w:r>
            <w:r>
              <w:br/>
              <w:t xml:space="preserve">      финансовых вложений)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4211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от продажи акций других организаций (долей участия)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4212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от возврата предоставленных займов, от продажи долговых ценных бумаг (прав требования денежных средств к другим лицам)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4213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дивидендов, процентов по долговым финансовым вложениям и аналогичных поступлений от долевого участия в других организациях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4214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прочие поступления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4219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Платежи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313A5" w:rsidRDefault="00C313A5">
            <w:pPr>
              <w:pStyle w:val="EMPTYCELLSTYLE"/>
            </w:pPr>
          </w:p>
        </w:tc>
        <w:tc>
          <w:tcPr>
            <w:tcW w:w="19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11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C313A5" w:rsidRDefault="00C313A5">
            <w:pPr>
              <w:pStyle w:val="EMPTYCELLSTYLE"/>
            </w:pPr>
          </w:p>
        </w:tc>
        <w:tc>
          <w:tcPr>
            <w:tcW w:w="8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6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0" w:type="dxa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20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За 2020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За 2019 г.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1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3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4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1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в связи с приобретением, созданием,</w:t>
            </w:r>
            <w:r>
              <w:br/>
              <w:t xml:space="preserve">      модернизацией, реконструкцией и подготовкой</w:t>
            </w:r>
            <w:r>
              <w:br/>
              <w:t xml:space="preserve">      к использованию внеоборотных активов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4221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в связи с приобретением акций других организаций (долей участия)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4222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в связи с приобретением долговых ценных бумаг (прав требования денежных средств к другим лицам), предоставление займов другим лицам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4223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процентов по долговым обязательствам, включаемым в стоимость инвестиционного актива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4224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прочие платежи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4229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Сальдо денежных потоков от инвестиционных операций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4200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fundsmovement"/>
              <w:spacing w:before="60"/>
              <w:ind w:left="60" w:right="60"/>
            </w:pPr>
            <w:r>
              <w:t>Денежные потоки от финансовых операций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Поступления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получение кредитов и займов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4311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денежных вкладов собственников (участников)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4312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от выпуска акций, увеличения долей участия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4313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от выпуска облигаций, векселей и других долговых ценных бумаг и др.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4314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прочие поступления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4319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Платежи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16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собственникам (участникам) в связи с выкупом</w:t>
            </w:r>
            <w:r>
              <w:br/>
              <w:t xml:space="preserve">      у них акций (долей участия) организации или их</w:t>
            </w:r>
            <w:r>
              <w:br/>
              <w:t xml:space="preserve">      выходом из состава участников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4321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на уплату дивидендов и иных платежей по распределению прибыли в пользу собственников (участников)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4322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в связи с погашением (выкупом) векселей и других долговых ценных бумаг, возврат кредитов и займов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4323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400" w:right="60"/>
            </w:pPr>
            <w:r>
              <w:t>прочие платежи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4329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Сальдо денежных потоков от финансовых операций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4300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fundsmovement"/>
              <w:spacing w:before="60"/>
              <w:ind w:left="60" w:right="60"/>
            </w:pPr>
            <w:r>
              <w:t>Сальдо денежных потоков за отчетный период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4400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(220)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(52 673)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fundsmovement"/>
              <w:spacing w:before="60"/>
              <w:ind w:left="60" w:right="60"/>
            </w:pPr>
            <w:r>
              <w:t>Остаток денежных средств и денежных эквивалентов на начало отчетного периода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4450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935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53 608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5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12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C313A5" w:rsidRDefault="00C313A5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20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За 2020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За 2019 г.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1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3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Italictablefundsmovement"/>
              <w:ind w:left="60" w:right="60"/>
              <w:jc w:val="center"/>
            </w:pPr>
            <w:r>
              <w:t>4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Boldtablefundsmovement"/>
              <w:spacing w:before="60"/>
              <w:ind w:left="60" w:right="60"/>
            </w:pPr>
            <w:r>
              <w:t>Остаток денежных средств и денежных эквивалентов на конец отчетного периода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4500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715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935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</w:pPr>
            <w:r>
              <w:t>Величина влияния изменений курса иностранной валюты по отношению к рублю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4490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13A5" w:rsidRDefault="007316F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34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  <w:jc w:val="right"/>
            </w:pPr>
            <w:r>
              <w:t>Страница 13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  <w:tr w:rsidR="00C313A5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13A5" w:rsidRDefault="007316FB">
            <w:pPr>
              <w:pStyle w:val="pagefooter"/>
            </w:pPr>
            <w:r>
              <w:t>04.11.2021 12:07</w:t>
            </w:r>
          </w:p>
        </w:tc>
        <w:tc>
          <w:tcPr>
            <w:tcW w:w="10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C313A5" w:rsidRDefault="00C313A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313A5" w:rsidRDefault="00C313A5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C313A5" w:rsidRDefault="00C313A5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16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C313A5" w:rsidRDefault="00C313A5">
            <w:pPr>
              <w:pStyle w:val="EMPTYCELLSTYLE"/>
            </w:pPr>
          </w:p>
        </w:tc>
        <w:tc>
          <w:tcPr>
            <w:tcW w:w="300" w:type="dxa"/>
          </w:tcPr>
          <w:p w:rsidR="00C313A5" w:rsidRDefault="00C313A5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C313A5" w:rsidRDefault="00C313A5">
            <w:pPr>
              <w:pStyle w:val="EMPTYCELLSTYLE"/>
            </w:pPr>
          </w:p>
        </w:tc>
      </w:tr>
    </w:tbl>
    <w:p w:rsidR="00000000" w:rsidRDefault="007316FB"/>
    <w:sectPr w:rsidR="00000000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A5"/>
    <w:rsid w:val="007316FB"/>
    <w:rsid w:val="00C3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pagefooter">
    <w:name w:val="page_footer"/>
    <w:qFormat/>
    <w:rPr>
      <w:color w:val="808080"/>
    </w:rPr>
  </w:style>
  <w:style w:type="paragraph" w:customStyle="1" w:styleId="Standarttableorganization">
    <w:name w:val="Standart_table_organization"/>
    <w:qFormat/>
    <w:rPr>
      <w:color w:val="000000"/>
      <w:sz w:val="24"/>
    </w:rPr>
  </w:style>
  <w:style w:type="paragraph" w:customStyle="1" w:styleId="Italictableorganization">
    <w:name w:val="Italic_table_organization"/>
    <w:qFormat/>
    <w:rPr>
      <w:i/>
      <w:color w:val="000000"/>
      <w:sz w:val="24"/>
    </w:rPr>
  </w:style>
  <w:style w:type="paragraph" w:customStyle="1" w:styleId="Standarttablebalance">
    <w:name w:val="Standart_table_balance"/>
    <w:qFormat/>
    <w:rPr>
      <w:color w:val="000000"/>
      <w:sz w:val="24"/>
    </w:rPr>
  </w:style>
  <w:style w:type="paragraph" w:customStyle="1" w:styleId="Italictablebalance">
    <w:name w:val="Italic_table_balance"/>
    <w:qFormat/>
    <w:rPr>
      <w:i/>
      <w:color w:val="000000"/>
      <w:sz w:val="24"/>
    </w:rPr>
  </w:style>
  <w:style w:type="paragraph" w:customStyle="1" w:styleId="withouttablebalance">
    <w:name w:val="without_table_balance"/>
    <w:qFormat/>
    <w:rPr>
      <w:color w:val="000000"/>
    </w:rPr>
  </w:style>
  <w:style w:type="paragraph" w:customStyle="1" w:styleId="Boldtablebalance">
    <w:name w:val="Bold_table_balance"/>
    <w:qFormat/>
    <w:rPr>
      <w:b/>
      <w:color w:val="000000"/>
      <w:sz w:val="24"/>
    </w:rPr>
  </w:style>
  <w:style w:type="paragraph" w:customStyle="1" w:styleId="Boldwithouttablebalance">
    <w:name w:val="Bold_without_table_balance"/>
    <w:qFormat/>
    <w:rPr>
      <w:b/>
      <w:color w:val="000000"/>
    </w:rPr>
  </w:style>
  <w:style w:type="paragraph" w:customStyle="1" w:styleId="signaturebalance">
    <w:name w:val="signature_balance"/>
    <w:qFormat/>
    <w:rPr>
      <w:color w:val="000000"/>
      <w:sz w:val="24"/>
    </w:rPr>
  </w:style>
  <w:style w:type="paragraph" w:customStyle="1" w:styleId="Standarttablefinres">
    <w:name w:val="Standart_table_fin_res"/>
    <w:qFormat/>
    <w:rPr>
      <w:color w:val="000000"/>
      <w:sz w:val="24"/>
    </w:rPr>
  </w:style>
  <w:style w:type="paragraph" w:customStyle="1" w:styleId="Italictablefinres">
    <w:name w:val="Italic_table_fin_res"/>
    <w:qFormat/>
    <w:rPr>
      <w:i/>
      <w:color w:val="000000"/>
      <w:sz w:val="24"/>
    </w:rPr>
  </w:style>
  <w:style w:type="paragraph" w:customStyle="1" w:styleId="withouttablefinres">
    <w:name w:val="without_table_fin_res"/>
    <w:qFormat/>
    <w:rPr>
      <w:color w:val="000000"/>
    </w:rPr>
  </w:style>
  <w:style w:type="paragraph" w:customStyle="1" w:styleId="Boldtablefinres">
    <w:name w:val="Bold_table_fin_res"/>
    <w:qFormat/>
    <w:rPr>
      <w:b/>
      <w:color w:val="000000"/>
      <w:sz w:val="24"/>
    </w:rPr>
  </w:style>
  <w:style w:type="paragraph" w:customStyle="1" w:styleId="Boldwithouttablefinres">
    <w:name w:val="Bold_without_table_fin_res"/>
    <w:qFormat/>
    <w:rPr>
      <w:b/>
      <w:color w:val="000000"/>
    </w:rPr>
  </w:style>
  <w:style w:type="paragraph" w:customStyle="1" w:styleId="Standarttablefinresadd">
    <w:name w:val="Standart_table_fin_res_add"/>
    <w:qFormat/>
    <w:rPr>
      <w:color w:val="000000"/>
      <w:sz w:val="24"/>
    </w:rPr>
  </w:style>
  <w:style w:type="paragraph" w:customStyle="1" w:styleId="Italictablefinresadd">
    <w:name w:val="Italic_table_fin_res_add"/>
    <w:qFormat/>
    <w:rPr>
      <w:i/>
      <w:color w:val="000000"/>
      <w:sz w:val="24"/>
    </w:rPr>
  </w:style>
  <w:style w:type="paragraph" w:customStyle="1" w:styleId="withouttablefinresadd">
    <w:name w:val="without_table_fin_res_add"/>
    <w:qFormat/>
    <w:rPr>
      <w:color w:val="000000"/>
    </w:rPr>
  </w:style>
  <w:style w:type="paragraph" w:customStyle="1" w:styleId="Boldwithouttablefinresadd">
    <w:name w:val="Bold_without_table_fin_res_add"/>
    <w:qFormat/>
    <w:rPr>
      <w:b/>
      <w:color w:val="000000"/>
    </w:rPr>
  </w:style>
  <w:style w:type="paragraph" w:customStyle="1" w:styleId="signaturefinres">
    <w:name w:val="signature_fin_res"/>
    <w:qFormat/>
    <w:rPr>
      <w:color w:val="000000"/>
      <w:sz w:val="24"/>
    </w:rPr>
  </w:style>
  <w:style w:type="paragraph" w:customStyle="1" w:styleId="Standarttabletfu">
    <w:name w:val="Standart_table_tfu"/>
    <w:qFormat/>
    <w:rPr>
      <w:color w:val="000000"/>
      <w:sz w:val="24"/>
    </w:rPr>
  </w:style>
  <w:style w:type="paragraph" w:customStyle="1" w:styleId="Italictabletfu">
    <w:name w:val="Italic_table_tfu"/>
    <w:qFormat/>
    <w:rPr>
      <w:i/>
      <w:color w:val="000000"/>
      <w:sz w:val="24"/>
    </w:rPr>
  </w:style>
  <w:style w:type="paragraph" w:customStyle="1" w:styleId="withouttabletfu">
    <w:name w:val="without_table_tfu"/>
    <w:qFormat/>
    <w:rPr>
      <w:color w:val="000000"/>
    </w:rPr>
  </w:style>
  <w:style w:type="paragraph" w:customStyle="1" w:styleId="Boldtabletfu">
    <w:name w:val="Bold_table_tfu"/>
    <w:qFormat/>
    <w:rPr>
      <w:b/>
      <w:color w:val="000000"/>
      <w:sz w:val="24"/>
    </w:rPr>
  </w:style>
  <w:style w:type="paragraph" w:customStyle="1" w:styleId="Boldwithouttabletfu">
    <w:name w:val="Bold_without_table_tfu"/>
    <w:qFormat/>
    <w:rPr>
      <w:b/>
      <w:color w:val="000000"/>
    </w:rPr>
  </w:style>
  <w:style w:type="paragraph" w:customStyle="1" w:styleId="signaturetfu">
    <w:name w:val="signature_tfu"/>
    <w:qFormat/>
    <w:rPr>
      <w:color w:val="000000"/>
      <w:sz w:val="24"/>
    </w:rPr>
  </w:style>
  <w:style w:type="paragraph" w:customStyle="1" w:styleId="Standarttablecapitalchange">
    <w:name w:val="Standart_table_capital_change"/>
    <w:qFormat/>
    <w:rPr>
      <w:color w:val="000000"/>
      <w:sz w:val="18"/>
    </w:rPr>
  </w:style>
  <w:style w:type="paragraph" w:customStyle="1" w:styleId="Italictablecapitalchange">
    <w:name w:val="Italic_table_capital_change"/>
    <w:qFormat/>
    <w:rPr>
      <w:i/>
      <w:color w:val="000000"/>
      <w:sz w:val="18"/>
    </w:rPr>
  </w:style>
  <w:style w:type="paragraph" w:customStyle="1" w:styleId="withouttablecapitalchange">
    <w:name w:val="without_table_capital_change"/>
    <w:qFormat/>
    <w:rPr>
      <w:color w:val="000000"/>
    </w:rPr>
  </w:style>
  <w:style w:type="paragraph" w:customStyle="1" w:styleId="Boldtablecapitalchange">
    <w:name w:val="Bold_table_capital_change"/>
    <w:qFormat/>
    <w:rPr>
      <w:b/>
      <w:color w:val="000000"/>
      <w:sz w:val="18"/>
    </w:rPr>
  </w:style>
  <w:style w:type="paragraph" w:customStyle="1" w:styleId="capitalchange">
    <w:name w:val="capital_change"/>
    <w:qFormat/>
    <w:rPr>
      <w:color w:val="000000"/>
      <w:sz w:val="24"/>
    </w:rPr>
  </w:style>
  <w:style w:type="paragraph" w:customStyle="1" w:styleId="Boldwithouttablecapitalchange">
    <w:name w:val="Bold_without_table_capital_change"/>
    <w:qFormat/>
    <w:rPr>
      <w:b/>
      <w:color w:val="000000"/>
    </w:rPr>
  </w:style>
  <w:style w:type="paragraph" w:customStyle="1" w:styleId="Standarttablecapitalchange1">
    <w:name w:val="Standart_table_capital_change_1"/>
    <w:qFormat/>
    <w:rPr>
      <w:color w:val="000000"/>
      <w:sz w:val="18"/>
    </w:rPr>
  </w:style>
  <w:style w:type="paragraph" w:customStyle="1" w:styleId="Italictablecapitalchange1">
    <w:name w:val="Italic_table_capital_change_1"/>
    <w:qFormat/>
    <w:rPr>
      <w:i/>
      <w:color w:val="000000"/>
      <w:sz w:val="18"/>
    </w:rPr>
  </w:style>
  <w:style w:type="paragraph" w:customStyle="1" w:styleId="withouttablecapitalchange1">
    <w:name w:val="without_table_capital_change_1"/>
    <w:qFormat/>
    <w:rPr>
      <w:color w:val="000000"/>
    </w:rPr>
  </w:style>
  <w:style w:type="paragraph" w:customStyle="1" w:styleId="Boldtablecapitalchange1">
    <w:name w:val="Bold_table_capital_change_1"/>
    <w:qFormat/>
    <w:rPr>
      <w:b/>
      <w:color w:val="000000"/>
      <w:sz w:val="18"/>
    </w:rPr>
  </w:style>
  <w:style w:type="paragraph" w:customStyle="1" w:styleId="Boldwithouttablecapitalchange1">
    <w:name w:val="Bold_without_table_capital_change_1"/>
    <w:qFormat/>
    <w:rPr>
      <w:b/>
      <w:color w:val="000000"/>
    </w:rPr>
  </w:style>
  <w:style w:type="paragraph" w:customStyle="1" w:styleId="Standarttablecapitalchange2">
    <w:name w:val="Standart_table_capital_change_2"/>
    <w:qFormat/>
    <w:rPr>
      <w:color w:val="000000"/>
      <w:sz w:val="24"/>
    </w:rPr>
  </w:style>
  <w:style w:type="paragraph" w:customStyle="1" w:styleId="Italictablecapitalchange2">
    <w:name w:val="Italic_table_capital_change_2"/>
    <w:qFormat/>
    <w:rPr>
      <w:i/>
      <w:color w:val="000000"/>
      <w:sz w:val="24"/>
    </w:rPr>
  </w:style>
  <w:style w:type="paragraph" w:customStyle="1" w:styleId="withouttablecapitalchange2">
    <w:name w:val="without_table_capital_change_2"/>
    <w:qFormat/>
    <w:rPr>
      <w:color w:val="000000"/>
    </w:rPr>
  </w:style>
  <w:style w:type="paragraph" w:customStyle="1" w:styleId="Boldtablecapitalchange2">
    <w:name w:val="Bold_table_capital_change_2"/>
    <w:qFormat/>
    <w:rPr>
      <w:b/>
      <w:color w:val="000000"/>
      <w:sz w:val="24"/>
    </w:rPr>
  </w:style>
  <w:style w:type="paragraph" w:customStyle="1" w:styleId="Standarttablecapitalchange3">
    <w:name w:val="Standart_table_capital_change_3"/>
    <w:qFormat/>
    <w:rPr>
      <w:color w:val="000000"/>
      <w:sz w:val="24"/>
    </w:rPr>
  </w:style>
  <w:style w:type="paragraph" w:customStyle="1" w:styleId="Italictablecapitalchange3">
    <w:name w:val="Italic_table_capital_change_3"/>
    <w:qFormat/>
    <w:rPr>
      <w:i/>
      <w:color w:val="000000"/>
      <w:sz w:val="24"/>
    </w:rPr>
  </w:style>
  <w:style w:type="paragraph" w:customStyle="1" w:styleId="Boldtablecapitalchange3">
    <w:name w:val="Bold_table_capital_change_3"/>
    <w:qFormat/>
    <w:rPr>
      <w:b/>
      <w:color w:val="000000"/>
      <w:sz w:val="24"/>
    </w:rPr>
  </w:style>
  <w:style w:type="paragraph" w:customStyle="1" w:styleId="signaturecapchange">
    <w:name w:val="signature_cap_change"/>
    <w:qFormat/>
    <w:rPr>
      <w:color w:val="000000"/>
      <w:sz w:val="24"/>
    </w:rPr>
  </w:style>
  <w:style w:type="paragraph" w:customStyle="1" w:styleId="Standarttablefundsmovement">
    <w:name w:val="Standart_table_funds_movement"/>
    <w:qFormat/>
    <w:rPr>
      <w:color w:val="000000"/>
      <w:sz w:val="24"/>
    </w:rPr>
  </w:style>
  <w:style w:type="paragraph" w:customStyle="1" w:styleId="Italictablefundsmovement">
    <w:name w:val="Italic_table_funds_movement"/>
    <w:qFormat/>
    <w:rPr>
      <w:i/>
      <w:color w:val="000000"/>
      <w:sz w:val="24"/>
    </w:rPr>
  </w:style>
  <w:style w:type="paragraph" w:customStyle="1" w:styleId="fundsmovement">
    <w:name w:val="funds_movement"/>
    <w:qFormat/>
    <w:rPr>
      <w:color w:val="000000"/>
      <w:sz w:val="24"/>
    </w:rPr>
  </w:style>
  <w:style w:type="paragraph" w:customStyle="1" w:styleId="withouttablefundsmovement">
    <w:name w:val="without_table_funds_movement"/>
    <w:qFormat/>
    <w:rPr>
      <w:color w:val="000000"/>
    </w:rPr>
  </w:style>
  <w:style w:type="paragraph" w:customStyle="1" w:styleId="Boldtablefundsmovement">
    <w:name w:val="Bold_table_funds_movement"/>
    <w:qFormat/>
    <w:rPr>
      <w:b/>
      <w:color w:val="000000"/>
      <w:sz w:val="24"/>
    </w:rPr>
  </w:style>
  <w:style w:type="paragraph" w:customStyle="1" w:styleId="Boldwithouttablefundsmovement">
    <w:name w:val="Bold_without_table_funds_movement"/>
    <w:qFormat/>
    <w:rPr>
      <w:b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pagefooter">
    <w:name w:val="page_footer"/>
    <w:qFormat/>
    <w:rPr>
      <w:color w:val="808080"/>
    </w:rPr>
  </w:style>
  <w:style w:type="paragraph" w:customStyle="1" w:styleId="Standarttableorganization">
    <w:name w:val="Standart_table_organization"/>
    <w:qFormat/>
    <w:rPr>
      <w:color w:val="000000"/>
      <w:sz w:val="24"/>
    </w:rPr>
  </w:style>
  <w:style w:type="paragraph" w:customStyle="1" w:styleId="Italictableorganization">
    <w:name w:val="Italic_table_organization"/>
    <w:qFormat/>
    <w:rPr>
      <w:i/>
      <w:color w:val="000000"/>
      <w:sz w:val="24"/>
    </w:rPr>
  </w:style>
  <w:style w:type="paragraph" w:customStyle="1" w:styleId="Standarttablebalance">
    <w:name w:val="Standart_table_balance"/>
    <w:qFormat/>
    <w:rPr>
      <w:color w:val="000000"/>
      <w:sz w:val="24"/>
    </w:rPr>
  </w:style>
  <w:style w:type="paragraph" w:customStyle="1" w:styleId="Italictablebalance">
    <w:name w:val="Italic_table_balance"/>
    <w:qFormat/>
    <w:rPr>
      <w:i/>
      <w:color w:val="000000"/>
      <w:sz w:val="24"/>
    </w:rPr>
  </w:style>
  <w:style w:type="paragraph" w:customStyle="1" w:styleId="withouttablebalance">
    <w:name w:val="without_table_balance"/>
    <w:qFormat/>
    <w:rPr>
      <w:color w:val="000000"/>
    </w:rPr>
  </w:style>
  <w:style w:type="paragraph" w:customStyle="1" w:styleId="Boldtablebalance">
    <w:name w:val="Bold_table_balance"/>
    <w:qFormat/>
    <w:rPr>
      <w:b/>
      <w:color w:val="000000"/>
      <w:sz w:val="24"/>
    </w:rPr>
  </w:style>
  <w:style w:type="paragraph" w:customStyle="1" w:styleId="Boldwithouttablebalance">
    <w:name w:val="Bold_without_table_balance"/>
    <w:qFormat/>
    <w:rPr>
      <w:b/>
      <w:color w:val="000000"/>
    </w:rPr>
  </w:style>
  <w:style w:type="paragraph" w:customStyle="1" w:styleId="signaturebalance">
    <w:name w:val="signature_balance"/>
    <w:qFormat/>
    <w:rPr>
      <w:color w:val="000000"/>
      <w:sz w:val="24"/>
    </w:rPr>
  </w:style>
  <w:style w:type="paragraph" w:customStyle="1" w:styleId="Standarttablefinres">
    <w:name w:val="Standart_table_fin_res"/>
    <w:qFormat/>
    <w:rPr>
      <w:color w:val="000000"/>
      <w:sz w:val="24"/>
    </w:rPr>
  </w:style>
  <w:style w:type="paragraph" w:customStyle="1" w:styleId="Italictablefinres">
    <w:name w:val="Italic_table_fin_res"/>
    <w:qFormat/>
    <w:rPr>
      <w:i/>
      <w:color w:val="000000"/>
      <w:sz w:val="24"/>
    </w:rPr>
  </w:style>
  <w:style w:type="paragraph" w:customStyle="1" w:styleId="withouttablefinres">
    <w:name w:val="without_table_fin_res"/>
    <w:qFormat/>
    <w:rPr>
      <w:color w:val="000000"/>
    </w:rPr>
  </w:style>
  <w:style w:type="paragraph" w:customStyle="1" w:styleId="Boldtablefinres">
    <w:name w:val="Bold_table_fin_res"/>
    <w:qFormat/>
    <w:rPr>
      <w:b/>
      <w:color w:val="000000"/>
      <w:sz w:val="24"/>
    </w:rPr>
  </w:style>
  <w:style w:type="paragraph" w:customStyle="1" w:styleId="Boldwithouttablefinres">
    <w:name w:val="Bold_without_table_fin_res"/>
    <w:qFormat/>
    <w:rPr>
      <w:b/>
      <w:color w:val="000000"/>
    </w:rPr>
  </w:style>
  <w:style w:type="paragraph" w:customStyle="1" w:styleId="Standarttablefinresadd">
    <w:name w:val="Standart_table_fin_res_add"/>
    <w:qFormat/>
    <w:rPr>
      <w:color w:val="000000"/>
      <w:sz w:val="24"/>
    </w:rPr>
  </w:style>
  <w:style w:type="paragraph" w:customStyle="1" w:styleId="Italictablefinresadd">
    <w:name w:val="Italic_table_fin_res_add"/>
    <w:qFormat/>
    <w:rPr>
      <w:i/>
      <w:color w:val="000000"/>
      <w:sz w:val="24"/>
    </w:rPr>
  </w:style>
  <w:style w:type="paragraph" w:customStyle="1" w:styleId="withouttablefinresadd">
    <w:name w:val="without_table_fin_res_add"/>
    <w:qFormat/>
    <w:rPr>
      <w:color w:val="000000"/>
    </w:rPr>
  </w:style>
  <w:style w:type="paragraph" w:customStyle="1" w:styleId="Boldwithouttablefinresadd">
    <w:name w:val="Bold_without_table_fin_res_add"/>
    <w:qFormat/>
    <w:rPr>
      <w:b/>
      <w:color w:val="000000"/>
    </w:rPr>
  </w:style>
  <w:style w:type="paragraph" w:customStyle="1" w:styleId="signaturefinres">
    <w:name w:val="signature_fin_res"/>
    <w:qFormat/>
    <w:rPr>
      <w:color w:val="000000"/>
      <w:sz w:val="24"/>
    </w:rPr>
  </w:style>
  <w:style w:type="paragraph" w:customStyle="1" w:styleId="Standarttabletfu">
    <w:name w:val="Standart_table_tfu"/>
    <w:qFormat/>
    <w:rPr>
      <w:color w:val="000000"/>
      <w:sz w:val="24"/>
    </w:rPr>
  </w:style>
  <w:style w:type="paragraph" w:customStyle="1" w:styleId="Italictabletfu">
    <w:name w:val="Italic_table_tfu"/>
    <w:qFormat/>
    <w:rPr>
      <w:i/>
      <w:color w:val="000000"/>
      <w:sz w:val="24"/>
    </w:rPr>
  </w:style>
  <w:style w:type="paragraph" w:customStyle="1" w:styleId="withouttabletfu">
    <w:name w:val="without_table_tfu"/>
    <w:qFormat/>
    <w:rPr>
      <w:color w:val="000000"/>
    </w:rPr>
  </w:style>
  <w:style w:type="paragraph" w:customStyle="1" w:styleId="Boldtabletfu">
    <w:name w:val="Bold_table_tfu"/>
    <w:qFormat/>
    <w:rPr>
      <w:b/>
      <w:color w:val="000000"/>
      <w:sz w:val="24"/>
    </w:rPr>
  </w:style>
  <w:style w:type="paragraph" w:customStyle="1" w:styleId="Boldwithouttabletfu">
    <w:name w:val="Bold_without_table_tfu"/>
    <w:qFormat/>
    <w:rPr>
      <w:b/>
      <w:color w:val="000000"/>
    </w:rPr>
  </w:style>
  <w:style w:type="paragraph" w:customStyle="1" w:styleId="signaturetfu">
    <w:name w:val="signature_tfu"/>
    <w:qFormat/>
    <w:rPr>
      <w:color w:val="000000"/>
      <w:sz w:val="24"/>
    </w:rPr>
  </w:style>
  <w:style w:type="paragraph" w:customStyle="1" w:styleId="Standarttablecapitalchange">
    <w:name w:val="Standart_table_capital_change"/>
    <w:qFormat/>
    <w:rPr>
      <w:color w:val="000000"/>
      <w:sz w:val="18"/>
    </w:rPr>
  </w:style>
  <w:style w:type="paragraph" w:customStyle="1" w:styleId="Italictablecapitalchange">
    <w:name w:val="Italic_table_capital_change"/>
    <w:qFormat/>
    <w:rPr>
      <w:i/>
      <w:color w:val="000000"/>
      <w:sz w:val="18"/>
    </w:rPr>
  </w:style>
  <w:style w:type="paragraph" w:customStyle="1" w:styleId="withouttablecapitalchange">
    <w:name w:val="without_table_capital_change"/>
    <w:qFormat/>
    <w:rPr>
      <w:color w:val="000000"/>
    </w:rPr>
  </w:style>
  <w:style w:type="paragraph" w:customStyle="1" w:styleId="Boldtablecapitalchange">
    <w:name w:val="Bold_table_capital_change"/>
    <w:qFormat/>
    <w:rPr>
      <w:b/>
      <w:color w:val="000000"/>
      <w:sz w:val="18"/>
    </w:rPr>
  </w:style>
  <w:style w:type="paragraph" w:customStyle="1" w:styleId="capitalchange">
    <w:name w:val="capital_change"/>
    <w:qFormat/>
    <w:rPr>
      <w:color w:val="000000"/>
      <w:sz w:val="24"/>
    </w:rPr>
  </w:style>
  <w:style w:type="paragraph" w:customStyle="1" w:styleId="Boldwithouttablecapitalchange">
    <w:name w:val="Bold_without_table_capital_change"/>
    <w:qFormat/>
    <w:rPr>
      <w:b/>
      <w:color w:val="000000"/>
    </w:rPr>
  </w:style>
  <w:style w:type="paragraph" w:customStyle="1" w:styleId="Standarttablecapitalchange1">
    <w:name w:val="Standart_table_capital_change_1"/>
    <w:qFormat/>
    <w:rPr>
      <w:color w:val="000000"/>
      <w:sz w:val="18"/>
    </w:rPr>
  </w:style>
  <w:style w:type="paragraph" w:customStyle="1" w:styleId="Italictablecapitalchange1">
    <w:name w:val="Italic_table_capital_change_1"/>
    <w:qFormat/>
    <w:rPr>
      <w:i/>
      <w:color w:val="000000"/>
      <w:sz w:val="18"/>
    </w:rPr>
  </w:style>
  <w:style w:type="paragraph" w:customStyle="1" w:styleId="withouttablecapitalchange1">
    <w:name w:val="without_table_capital_change_1"/>
    <w:qFormat/>
    <w:rPr>
      <w:color w:val="000000"/>
    </w:rPr>
  </w:style>
  <w:style w:type="paragraph" w:customStyle="1" w:styleId="Boldtablecapitalchange1">
    <w:name w:val="Bold_table_capital_change_1"/>
    <w:qFormat/>
    <w:rPr>
      <w:b/>
      <w:color w:val="000000"/>
      <w:sz w:val="18"/>
    </w:rPr>
  </w:style>
  <w:style w:type="paragraph" w:customStyle="1" w:styleId="Boldwithouttablecapitalchange1">
    <w:name w:val="Bold_without_table_capital_change_1"/>
    <w:qFormat/>
    <w:rPr>
      <w:b/>
      <w:color w:val="000000"/>
    </w:rPr>
  </w:style>
  <w:style w:type="paragraph" w:customStyle="1" w:styleId="Standarttablecapitalchange2">
    <w:name w:val="Standart_table_capital_change_2"/>
    <w:qFormat/>
    <w:rPr>
      <w:color w:val="000000"/>
      <w:sz w:val="24"/>
    </w:rPr>
  </w:style>
  <w:style w:type="paragraph" w:customStyle="1" w:styleId="Italictablecapitalchange2">
    <w:name w:val="Italic_table_capital_change_2"/>
    <w:qFormat/>
    <w:rPr>
      <w:i/>
      <w:color w:val="000000"/>
      <w:sz w:val="24"/>
    </w:rPr>
  </w:style>
  <w:style w:type="paragraph" w:customStyle="1" w:styleId="withouttablecapitalchange2">
    <w:name w:val="without_table_capital_change_2"/>
    <w:qFormat/>
    <w:rPr>
      <w:color w:val="000000"/>
    </w:rPr>
  </w:style>
  <w:style w:type="paragraph" w:customStyle="1" w:styleId="Boldtablecapitalchange2">
    <w:name w:val="Bold_table_capital_change_2"/>
    <w:qFormat/>
    <w:rPr>
      <w:b/>
      <w:color w:val="000000"/>
      <w:sz w:val="24"/>
    </w:rPr>
  </w:style>
  <w:style w:type="paragraph" w:customStyle="1" w:styleId="Standarttablecapitalchange3">
    <w:name w:val="Standart_table_capital_change_3"/>
    <w:qFormat/>
    <w:rPr>
      <w:color w:val="000000"/>
      <w:sz w:val="24"/>
    </w:rPr>
  </w:style>
  <w:style w:type="paragraph" w:customStyle="1" w:styleId="Italictablecapitalchange3">
    <w:name w:val="Italic_table_capital_change_3"/>
    <w:qFormat/>
    <w:rPr>
      <w:i/>
      <w:color w:val="000000"/>
      <w:sz w:val="24"/>
    </w:rPr>
  </w:style>
  <w:style w:type="paragraph" w:customStyle="1" w:styleId="Boldtablecapitalchange3">
    <w:name w:val="Bold_table_capital_change_3"/>
    <w:qFormat/>
    <w:rPr>
      <w:b/>
      <w:color w:val="000000"/>
      <w:sz w:val="24"/>
    </w:rPr>
  </w:style>
  <w:style w:type="paragraph" w:customStyle="1" w:styleId="signaturecapchange">
    <w:name w:val="signature_cap_change"/>
    <w:qFormat/>
    <w:rPr>
      <w:color w:val="000000"/>
      <w:sz w:val="24"/>
    </w:rPr>
  </w:style>
  <w:style w:type="paragraph" w:customStyle="1" w:styleId="Standarttablefundsmovement">
    <w:name w:val="Standart_table_funds_movement"/>
    <w:qFormat/>
    <w:rPr>
      <w:color w:val="000000"/>
      <w:sz w:val="24"/>
    </w:rPr>
  </w:style>
  <w:style w:type="paragraph" w:customStyle="1" w:styleId="Italictablefundsmovement">
    <w:name w:val="Italic_table_funds_movement"/>
    <w:qFormat/>
    <w:rPr>
      <w:i/>
      <w:color w:val="000000"/>
      <w:sz w:val="24"/>
    </w:rPr>
  </w:style>
  <w:style w:type="paragraph" w:customStyle="1" w:styleId="fundsmovement">
    <w:name w:val="funds_movement"/>
    <w:qFormat/>
    <w:rPr>
      <w:color w:val="000000"/>
      <w:sz w:val="24"/>
    </w:rPr>
  </w:style>
  <w:style w:type="paragraph" w:customStyle="1" w:styleId="withouttablefundsmovement">
    <w:name w:val="without_table_funds_movement"/>
    <w:qFormat/>
    <w:rPr>
      <w:color w:val="000000"/>
    </w:rPr>
  </w:style>
  <w:style w:type="paragraph" w:customStyle="1" w:styleId="Boldtablefundsmovement">
    <w:name w:val="Bold_table_funds_movement"/>
    <w:qFormat/>
    <w:rPr>
      <w:b/>
      <w:color w:val="000000"/>
      <w:sz w:val="24"/>
    </w:rPr>
  </w:style>
  <w:style w:type="paragraph" w:customStyle="1" w:styleId="Boldwithouttablefundsmovement">
    <w:name w:val="Bold_without_table_funds_movement"/>
    <w:qFormat/>
    <w:rPr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2698</Words>
  <Characters>15381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Григорий</cp:lastModifiedBy>
  <cp:revision>2</cp:revision>
  <dcterms:created xsi:type="dcterms:W3CDTF">2021-11-04T09:09:00Z</dcterms:created>
  <dcterms:modified xsi:type="dcterms:W3CDTF">2021-11-04T09:09:00Z</dcterms:modified>
</cp:coreProperties>
</file>