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9175C" w14:textId="303E8051" w:rsidR="00296D8F" w:rsidRDefault="00296D8F" w:rsidP="0029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D78D8" w14:textId="77777777" w:rsidR="007033EA" w:rsidRDefault="007033EA" w:rsidP="00296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2A6B36E" w14:textId="77777777" w:rsidR="007033EA" w:rsidRDefault="007033EA" w:rsidP="0029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3EA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6914C9E6" w14:textId="7B2557D0" w:rsidR="00296D8F" w:rsidRDefault="00296D8F" w:rsidP="0029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экспертно-аналитического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03" w14:textId="1110FDCD" w:rsidR="008039DC" w:rsidRDefault="001B1AD1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</w:t>
      </w:r>
      <w:r w:rsidR="003A5CB8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E562E2" w14:textId="77777777" w:rsidR="003E4EFB" w:rsidRDefault="003E4EFB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7" w14:textId="00D11A62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</w:t>
      </w:r>
      <w:r w:rsidR="00EB61A5">
        <w:rPr>
          <w:rFonts w:ascii="Times New Roman" w:hAnsi="Times New Roman" w:cs="Times New Roman"/>
          <w:b/>
          <w:sz w:val="28"/>
          <w:szCs w:val="28"/>
        </w:rPr>
        <w:t xml:space="preserve">дения </w:t>
      </w:r>
      <w:r w:rsidR="00EB61A5" w:rsidRPr="00EB61A5">
        <w:rPr>
          <w:rFonts w:ascii="Times New Roman" w:hAnsi="Times New Roman" w:cs="Times New Roman"/>
          <w:b/>
          <w:sz w:val="28"/>
          <w:szCs w:val="28"/>
        </w:rPr>
        <w:t>экспертно – 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п.2.</w:t>
      </w:r>
      <w:r w:rsidR="003A5CB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раздела 2  Плана работы Ревизионной комиссии Большесолдатского района Курской области на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Ревизионной комиссии Большесолдатского района Курской области</w:t>
      </w:r>
      <w:r w:rsidR="003A5CB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 w:rsidRPr="003A5CB8">
        <w:rPr>
          <w:rFonts w:ascii="Times New Roman" w:hAnsi="Times New Roman" w:cs="Times New Roman"/>
          <w:sz w:val="28"/>
          <w:szCs w:val="28"/>
        </w:rPr>
        <w:t>14.03.2024 года №3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муниципальном районе «Большесолдатский район» Курской области от 17 октября 2013 г  №15/155-2 (далее- Положение о бюджетном процессе),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Положение</w:t>
      </w:r>
      <w:r>
        <w:t xml:space="preserve"> </w:t>
      </w:r>
      <w:r>
        <w:rPr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Ревизионной комиссии Большесолдатского района Курской области, утвержденного решением Представительного Собрания Большесолдатского района Курской области от 24.03.2023года №24/148-4 «О создании  контрольно-счетного органа Большесолдатского района Курской области - о Ревизионной комиссии Большесолдатского района  Курской области».</w:t>
      </w:r>
    </w:p>
    <w:p w14:paraId="00000008" w14:textId="2E98CA52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Предмет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0000009" w14:textId="26EAF6F9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 Объект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бюджет муниципального района “Большесолдатский район” Курской области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0A" w14:textId="121D8E92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Исследуемый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5C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5C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6361C8D3" w14:textId="3A0A488F" w:rsidR="002B452F" w:rsidRPr="002B452F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Цел</w:t>
      </w:r>
      <w:r w:rsidR="002B452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337EA287" w14:textId="13B7851D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 Цель – определение достоверности и обоснованности показателей бюджет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“Большесолдатский район” Курской области на 2025 год и на плановый период 2026 и 2027 годов.</w:t>
      </w:r>
    </w:p>
    <w:p w14:paraId="1C2DF4F4" w14:textId="77777777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52F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</w:p>
    <w:p w14:paraId="2A1AFB4D" w14:textId="2EF543BB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.1.1.Определение соответствия Проекта решения действующему законодательству; </w:t>
      </w:r>
    </w:p>
    <w:p w14:paraId="68277776" w14:textId="78964D8F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.1.2.Определение обоснованности и достоверности доходной части; </w:t>
      </w:r>
    </w:p>
    <w:p w14:paraId="4D1ED670" w14:textId="284031E3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4899653"/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.1.3. Определение обоснованности и достоверности расходной части; </w:t>
      </w:r>
    </w:p>
    <w:bookmarkEnd w:id="0"/>
    <w:p w14:paraId="21911241" w14:textId="793CF3D4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.1.4. Сбалансированность бюджета</w:t>
      </w:r>
    </w:p>
    <w:p w14:paraId="0000000D" w14:textId="58693461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 0</w:t>
      </w:r>
      <w:r w:rsidR="003A5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  по 2</w:t>
      </w:r>
      <w:r w:rsidR="003A5C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6AD7BB" w14:textId="77777777" w:rsidR="00E725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Результаты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экспертно – аналитического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мероприятия:   </w:t>
      </w:r>
    </w:p>
    <w:p w14:paraId="0000000F" w14:textId="47B40182" w:rsidR="008039DC" w:rsidRDefault="001B1AD1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на проект 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</w:t>
      </w:r>
      <w:r w:rsidR="003A5CB8">
        <w:rPr>
          <w:rFonts w:ascii="Times New Roman" w:hAnsi="Times New Roman" w:cs="Times New Roman"/>
          <w:sz w:val="28"/>
          <w:szCs w:val="28"/>
        </w:rPr>
        <w:t xml:space="preserve">на 2025 год и на </w:t>
      </w:r>
      <w:r w:rsidR="003A5CB8">
        <w:rPr>
          <w:rFonts w:ascii="Times New Roman" w:hAnsi="Times New Roman" w:cs="Times New Roman"/>
          <w:sz w:val="28"/>
          <w:szCs w:val="28"/>
        </w:rPr>
        <w:lastRenderedPageBreak/>
        <w:t>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 подготовлено в соответствии </w:t>
      </w:r>
      <w:r w:rsidR="003A5CB8" w:rsidRPr="003A5CB8">
        <w:rPr>
          <w:rFonts w:ascii="Times New Roman" w:hAnsi="Times New Roman" w:cs="Times New Roman"/>
          <w:sz w:val="28"/>
          <w:szCs w:val="28"/>
        </w:rPr>
        <w:t xml:space="preserve">с </w:t>
      </w:r>
      <w:r w:rsidR="00AC2D6F">
        <w:rPr>
          <w:rFonts w:ascii="Times New Roman" w:hAnsi="Times New Roman" w:cs="Times New Roman"/>
          <w:sz w:val="28"/>
          <w:szCs w:val="28"/>
        </w:rPr>
        <w:t>о</w:t>
      </w:r>
      <w:r w:rsidR="003A5CB8" w:rsidRPr="003A5CB8">
        <w:rPr>
          <w:rFonts w:ascii="Times New Roman" w:hAnsi="Times New Roman" w:cs="Times New Roman"/>
          <w:sz w:val="28"/>
          <w:szCs w:val="28"/>
        </w:rPr>
        <w:t>сновными направлениями налоговой и бюджетной политики на 2025 год и плановый период 2026 и 2027 годов, прогнозом социально-экономического развития Большесолдатского района, представленного Управлением экономического развития, земельных и имущественных отношений Администрации Большесолдатского района Курской области, изменениями, внесенными в налоговое и бюджетное законодательство, приказом Министерства финансов и бюджетного контроля Курской области от 24.09.2024 № 184 «Об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2025 год и на плановый период 2026 и 2027 годов» и от 23.10.2024 года № 85-н «Об утверждении методики планирования бюджетных ассигнований областного  бюджета на 2025 год и на плановый период 2026 и 2027 годов», приказом Управления финансов Администрации Большесолдатского района Курской области от 28.10.2024 года №14 «Об утверждении методики формирования бюджета муниципального района «Большесолдатский район» Курской области на 2025 год и на плановый период 2026 и 2027 годов», а также проектом Закона Курской области «Об областном бюджете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,   Уставом муниципального района «Большесолдатский район» Курской области и иными законодательными  нормативно-правовыми актами.</w:t>
      </w:r>
    </w:p>
    <w:p w14:paraId="72DCE2FD" w14:textId="77777777" w:rsidR="00821392" w:rsidRDefault="0082139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92">
        <w:rPr>
          <w:rFonts w:ascii="Times New Roman" w:hAnsi="Times New Roman" w:cs="Times New Roman"/>
          <w:sz w:val="28"/>
          <w:szCs w:val="28"/>
        </w:rPr>
        <w:t>Согласно пояснительной записке в основу формирования бюджета муниципального района “Большесолдатский район” Курской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139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1392">
        <w:rPr>
          <w:rFonts w:ascii="Times New Roman" w:hAnsi="Times New Roman" w:cs="Times New Roman"/>
          <w:sz w:val="28"/>
          <w:szCs w:val="28"/>
        </w:rPr>
        <w:t>положены задачи, определенные в основных направлениях бюджетной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налоговой политики муниципального района “Большесолдатский район” Курской области. Параметры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бюджета являются составной частью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района “Большесолдатский район” Курской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должен быть подготовлен путем согласованного взаимодействия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содержать систему научно 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представлений о направлениях и об ожидаемых результатах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392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на 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14:paraId="6F36C7F4" w14:textId="71480461" w:rsidR="005C0D72" w:rsidRPr="005C0D72" w:rsidRDefault="005C0D7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72">
        <w:rPr>
          <w:rFonts w:ascii="Times New Roman" w:hAnsi="Times New Roman" w:cs="Times New Roman"/>
          <w:sz w:val="28"/>
          <w:szCs w:val="28"/>
        </w:rPr>
        <w:t>В соответствии со ст. 37 БК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Проект бюджета составляется на основе прогноза социально-экономического развития в целях финансового обеспечения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10" w14:textId="24356BBE" w:rsidR="008039DC" w:rsidRDefault="001B1AD1" w:rsidP="003E4EFB">
      <w:pPr>
        <w:pStyle w:val="ConsPlusNonformat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«О бюджете муниципального района “Большесолдатский район” Курской области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    материалы соответствуют требованиям 184.2 БК РФ.</w:t>
      </w:r>
    </w:p>
    <w:p w14:paraId="00000011" w14:textId="77777777" w:rsidR="008039DC" w:rsidRDefault="001B1AD1" w:rsidP="003E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предусмотрены все показатели, установленные пунктом 3 статьи 184.1 БК РФ.</w:t>
      </w:r>
    </w:p>
    <w:p w14:paraId="00000012" w14:textId="77777777" w:rsidR="008039DC" w:rsidRDefault="001B1AD1" w:rsidP="003E4E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Соблюдены требования и ограничения, установленные БК РФ: п. 4 ст. 107 – по объему государственного долга, ст. 111 – по расходам на его обслуживание, ст. 99 – по перечню государственных заимствований, ст. 106 БК РФ – по предельному объему заимствований, п. 3 ст. 81 – по размеру резервного фонда, п. 4 ст. 179.4 – по объему бюджетных ассигнований Дорожного фонда, п. 3 ст. 184.1 – по общему объему условно утверждаемых расходов, а также бюджетных ассигнований, направляемых на исполнение публичных нормативных обязательств.</w:t>
      </w:r>
    </w:p>
    <w:p w14:paraId="00000014" w14:textId="143036A3" w:rsidR="008039DC" w:rsidRPr="00A5299F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Целью проведения экспертизы проекта бюджета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14:paraId="00000015" w14:textId="37A7FC60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Проект 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</w:t>
      </w:r>
      <w:r w:rsidR="003A5C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2025 год и на плановый период 2026 и 2027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 внесен Администрацией Большесолдатского района Курской области на рассмотрение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утверждение </w:t>
      </w:r>
      <w:r w:rsidRPr="005C0D72">
        <w:rPr>
          <w:rFonts w:ascii="Times New Roman" w:eastAsia="Calibri" w:hAnsi="Times New Roman" w:cs="Times New Roman"/>
          <w:sz w:val="28"/>
          <w:szCs w:val="28"/>
        </w:rPr>
        <w:t>1</w:t>
      </w:r>
      <w:r w:rsidR="00DE57B6" w:rsidRPr="005C0D72">
        <w:rPr>
          <w:rFonts w:ascii="Times New Roman" w:eastAsia="Calibri" w:hAnsi="Times New Roman" w:cs="Times New Roman"/>
          <w:sz w:val="28"/>
          <w:szCs w:val="28"/>
        </w:rPr>
        <w:t>5</w:t>
      </w:r>
      <w:r w:rsidRPr="005C0D72">
        <w:rPr>
          <w:rFonts w:ascii="Times New Roman" w:eastAsia="Calibri" w:hAnsi="Times New Roman" w:cs="Times New Roman"/>
          <w:sz w:val="28"/>
          <w:szCs w:val="28"/>
        </w:rPr>
        <w:t>.11.202</w:t>
      </w:r>
      <w:r w:rsidR="00DE57B6" w:rsidRPr="005C0D72">
        <w:rPr>
          <w:rFonts w:ascii="Times New Roman" w:eastAsia="Calibri" w:hAnsi="Times New Roman" w:cs="Times New Roman"/>
          <w:sz w:val="28"/>
          <w:szCs w:val="28"/>
        </w:rPr>
        <w:t>4</w:t>
      </w:r>
      <w:r w:rsidRPr="005C0D72">
        <w:rPr>
          <w:rFonts w:ascii="Times New Roman" w:eastAsia="Calibri" w:hAnsi="Times New Roman" w:cs="Times New Roman"/>
          <w:sz w:val="28"/>
          <w:szCs w:val="28"/>
        </w:rPr>
        <w:t>г</w:t>
      </w:r>
      <w:r w:rsidRPr="005C0D72">
        <w:rPr>
          <w:rFonts w:ascii="Times New Roman" w:eastAsia="Calibri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соответствует сроку, установленному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ст.185 Бюджетного кодекса  Российской Федерации.</w:t>
      </w:r>
    </w:p>
    <w:p w14:paraId="00000016" w14:textId="496A4F0C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 на официальном сайте Администрации Большесолдатского района Курской области </w:t>
      </w:r>
      <w:r w:rsidR="00DE57B6" w:rsidRPr="00DE57B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https://adm-bolshesoldatskii.gosuslugi.ru/</w:t>
      </w:r>
      <w:r w:rsidR="00DE57B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14:paraId="00000017" w14:textId="16D0C128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пп.2 пункта 3 статьи 28 Закона №131-ФЗ проект местного бюджета вынесен на публичные слушания, которые состоялись 0</w:t>
      </w:r>
      <w:r w:rsidR="006431C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DE57B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года (</w:t>
      </w:r>
      <w:r w:rsidRPr="006431CE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6431CE" w:rsidRPr="006431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31C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6431C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DE57B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года).</w:t>
      </w:r>
    </w:p>
    <w:p w14:paraId="00000018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Проект решения о бюджете в полной мере соответствует требованиям статьи 184.2 Бюджетного кодекса Российской Федерации в части документов, представленных одновременно с проектом бюджета.</w:t>
      </w:r>
    </w:p>
    <w:p w14:paraId="00000019" w14:textId="63CDD5E9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В соответствии со ст. 169 п. 1 Бюджетного кодекса РФ проект бюджета составлен на основе Прогноза социально-экономического развития Большесолдатского района на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и на период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годов.  </w:t>
      </w:r>
    </w:p>
    <w:p w14:paraId="0000001A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96E8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174.2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изменений.</w:t>
      </w:r>
    </w:p>
    <w:p w14:paraId="59724086" w14:textId="7372AB56" w:rsidR="00E725DC" w:rsidRPr="00A64CB6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Состав показателей, представляемых для утверждения в проекте</w:t>
      </w:r>
      <w:r w:rsidR="0082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решения, соответствует требованиям Положения о бюджетном процессе.</w:t>
      </w:r>
      <w:r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725DC"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00001B" w14:textId="0663ECEE" w:rsidR="008039DC" w:rsidRDefault="00E725DC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B1A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Представительного Собрания Большесолдатского района Курской области </w:t>
      </w:r>
      <w:r w:rsidR="001B1AD1">
        <w:rPr>
          <w:rFonts w:ascii="Times New Roman" w:hAnsi="Times New Roman" w:cs="Times New Roman"/>
          <w:sz w:val="28"/>
          <w:szCs w:val="28"/>
        </w:rPr>
        <w:t xml:space="preserve">«О бюджете муниципального района “Большесолдатский район” Курской области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1B1AD1">
        <w:rPr>
          <w:rFonts w:ascii="Times New Roman" w:hAnsi="Times New Roman" w:cs="Times New Roman"/>
          <w:sz w:val="28"/>
          <w:szCs w:val="28"/>
        </w:rPr>
        <w:t xml:space="preserve">»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>включает в себя 27 пунктов и 16 приложений.</w:t>
      </w:r>
    </w:p>
    <w:p w14:paraId="1E725C8E" w14:textId="77777777" w:rsidR="00821392" w:rsidRDefault="00821392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BA4B8" w14:textId="44119655" w:rsidR="00A64CB6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EFB">
        <w:rPr>
          <w:rFonts w:ascii="Times New Roman" w:hAnsi="Times New Roman"/>
          <w:color w:val="000000"/>
          <w:sz w:val="28"/>
          <w:szCs w:val="28"/>
        </w:rPr>
        <w:lastRenderedPageBreak/>
        <w:t xml:space="preserve">    Принцип сбалансированности бюджета обеспечен</w:t>
      </w:r>
      <w:r w:rsidR="003E4EFB">
        <w:rPr>
          <w:rFonts w:ascii="Times New Roman" w:hAnsi="Times New Roman"/>
          <w:color w:val="000000"/>
          <w:sz w:val="28"/>
          <w:szCs w:val="28"/>
        </w:rPr>
        <w:t>,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предусмотренных бюджетом расходов соответствует суммарному объему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доходов бюджета и поступлений источников финансирования его дефицита,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уменьшенных на суммы выплат из бюджета, связанных с источниками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финансирования дефицита бюджета и изменением остатков на счетах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учету средств бюджета.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Проектом решения в качестве источника внутреннего 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дефицита бюджета предлагается утвердить изменение остатков средств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счетах по учету средств бюджетов. Объем предусмотренных проектом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решения источников финансирования дефицита бюджета 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прогнозному объему дефицита.</w:t>
      </w:r>
      <w:r w:rsidR="001B1A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0501D1" w14:textId="5ED085A8" w:rsidR="00AF7539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64CB6">
        <w:rPr>
          <w:rFonts w:ascii="Times New Roman" w:hAnsi="Times New Roman"/>
          <w:color w:val="000000"/>
          <w:sz w:val="28"/>
          <w:szCs w:val="28"/>
        </w:rPr>
        <w:t>Источник внутреннего финансирования дефицита бюджет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“Большесолдатский район” Курской области не противоречит требованиям статьи 96 БК РФ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F7539" w:rsidRPr="00AF7539"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Размер дефицита бюджета к общему годовому объему 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 поселения без учета объема безвозмездных поступлений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и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поступлений налоговых доходов по дополнительным нормативам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отчислений не превышает предельные значения, установленные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пунктом 3 статьи 92.1 БК РФ.</w:t>
      </w:r>
    </w:p>
    <w:p w14:paraId="4954E4BB" w14:textId="6A6FADD6" w:rsidR="00A64CB6" w:rsidRPr="007033EA" w:rsidRDefault="00AF7539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3EA">
        <w:rPr>
          <w:rFonts w:ascii="Times New Roman" w:hAnsi="Times New Roman"/>
          <w:color w:val="000000"/>
          <w:sz w:val="28"/>
          <w:szCs w:val="28"/>
        </w:rPr>
        <w:t>Нарушений бюджетного законодательства в части размера дефицита бюджета не установлено.</w:t>
      </w:r>
      <w:r w:rsidR="001B1AD1" w:rsidRPr="007033E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00000034" w14:textId="49908BED" w:rsidR="008039DC" w:rsidRDefault="001B1AD1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 формировании бюджета на 2025-2026 годы применены общие подходы к расчету бюджетных проектировок:</w:t>
      </w:r>
    </w:p>
    <w:p w14:paraId="00000035" w14:textId="77777777" w:rsidR="008039DC" w:rsidRDefault="001B1AD1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оплату труда работников органов местного самоуправления осуществляется исходя из утвержденных структур, действующих на 1 августа 2023 года, и нормативных актов Администрации Большесолдатского района Курской области, регулирующих оплату труда;</w:t>
      </w:r>
    </w:p>
    <w:p w14:paraId="00000036" w14:textId="77777777" w:rsidR="008039DC" w:rsidRDefault="001B1AD1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текущее содержание органов местного самоуправления Большесолдатского муниципального района Курской области - исходя из общих подходов к расчету бюджетных проектировок, а также установленных для муниципального района «Большесолдатский район» Курской области нормативов формирования расходов на содержание органов местного самоуправления;</w:t>
      </w:r>
    </w:p>
    <w:p w14:paraId="00000037" w14:textId="77777777" w:rsidR="008039DC" w:rsidRDefault="001B1AD1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планирование бюджетных ассигнований на реализацию положений Указа Президента Российской Федерации  от 07.05.2012 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регионе;</w:t>
      </w:r>
    </w:p>
    <w:p w14:paraId="00000038" w14:textId="77777777" w:rsidR="008039DC" w:rsidRDefault="001B1AD1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 начислениям на оплату труда  установлен тариф страховых взносов в государственные внебюджетные фонды в размере 30,2 %;</w:t>
      </w:r>
    </w:p>
    <w:p w14:paraId="00000039" w14:textId="77777777" w:rsidR="008039DC" w:rsidRDefault="001B1AD1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расходы на реализацию целевых программ учтены в соответствии с объемами, определенными на их реализацию нормативно-правовыми актами; </w:t>
      </w:r>
    </w:p>
    <w:p w14:paraId="0000003A" w14:textId="7DB8B299" w:rsidR="008039DC" w:rsidRDefault="001B1AD1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бюджетные ассигнования, финансовое обеспечение которых осуществляется за счет средств областного бюджета в виде целевых субвенций, предусматриваются в объемах, отраженных в проекте закона Курской области «Об областном бюджете </w:t>
      </w:r>
      <w:r w:rsidR="003A5CB8">
        <w:rPr>
          <w:rFonts w:ascii="Times New Roman" w:hAnsi="Times New Roman"/>
          <w:color w:val="000000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/>
          <w:color w:val="000000"/>
          <w:sz w:val="28"/>
          <w:szCs w:val="28"/>
        </w:rPr>
        <w:t>» на момент формирования бюджета муниципального района «Большесолдатский район»;</w:t>
      </w:r>
    </w:p>
    <w:p w14:paraId="0000003B" w14:textId="77777777" w:rsidR="008039DC" w:rsidRDefault="001B1AD1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7) расходы от платных услуг и иной приносящей доход деятельности казенных учреждений планируются по данным, полученным от получателей средств бюджета муниципального района;</w:t>
      </w:r>
    </w:p>
    <w:p w14:paraId="0000003C" w14:textId="18ACC61C" w:rsidR="008039DC" w:rsidRDefault="001B1AD1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расходы по остальным материальным затратам по соответствующим разделам и подразделам предусмотрены по остаточному принципу. </w:t>
      </w:r>
    </w:p>
    <w:p w14:paraId="3738F12C" w14:textId="65934093" w:rsidR="00A5299F" w:rsidRPr="00A5299F" w:rsidRDefault="00A5299F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3E4EFB">
        <w:rPr>
          <w:rFonts w:ascii="Times New Roman" w:hAnsi="Times New Roman"/>
          <w:color w:val="000000"/>
          <w:sz w:val="28"/>
          <w:szCs w:val="28"/>
        </w:rPr>
        <w:t>Экспертное Заключение к Проекту</w:t>
      </w:r>
      <w:r w:rsid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показало, что проект 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на 2025 год и на плановый период 2026 и 2027 годов»</w:t>
      </w:r>
      <w:r w:rsidRPr="003E4EFB"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соответствует действующему законодательству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27C28B5B" w14:textId="0E05E703" w:rsidR="00B90FCD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Hlk184916550"/>
      <w:r w:rsidR="0060086C" w:rsidRPr="0060086C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</w:t>
      </w:r>
      <w:r w:rsidR="00B90FCD">
        <w:rPr>
          <w:rFonts w:ascii="Times New Roman" w:hAnsi="Times New Roman" w:cs="Times New Roman"/>
          <w:sz w:val="28"/>
          <w:szCs w:val="28"/>
        </w:rPr>
        <w:t xml:space="preserve">и финансово-экономического обоснования </w:t>
      </w:r>
      <w:r w:rsidR="0060086C" w:rsidRPr="0060086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90FCD" w:rsidRPr="00B90FCD">
        <w:rPr>
          <w:rFonts w:ascii="Times New Roman" w:hAnsi="Times New Roman" w:cs="Times New Roman"/>
          <w:sz w:val="28"/>
          <w:szCs w:val="28"/>
        </w:rPr>
        <w:t>Решения Представительного Собрания Большесолдатского района Курской области «О бюджете муниципального района       «Большесолдатский район» Курской области на 2025 год и на плановый период 2026 и 2027 годов»</w:t>
      </w:r>
      <w:r w:rsidR="00B90FC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B90FCD">
        <w:rPr>
          <w:rFonts w:ascii="Times New Roman" w:hAnsi="Times New Roman" w:cs="Times New Roman"/>
          <w:sz w:val="28"/>
          <w:szCs w:val="28"/>
        </w:rPr>
        <w:t>ф</w:t>
      </w:r>
      <w:r w:rsidR="00B90FCD" w:rsidRPr="00B90FCD">
        <w:rPr>
          <w:rFonts w:ascii="Times New Roman" w:hAnsi="Times New Roman" w:cs="Times New Roman"/>
          <w:sz w:val="28"/>
          <w:szCs w:val="28"/>
        </w:rPr>
        <w:t>ормирование доходной части  бюджета муниципального района «Большесолдатский район» Курской области осуществлялось на основе ожидаемых в 2024 году показателей функционирования реального сектора экономики района, а также прогноза социально-экономического развития Большесолдатского района Курской области на 2025-2027 годы и бюджетной и налоговой политики муниципального района «Большесолдатский район» Курской области на 2025-2027 годы. При этом в расчетах доходов бюджета муниципального района «Большесолдатский район» Курской области учитывались действующие федеральные и областные законы и проект Закона Курской области «Об областном бюджете на 2025 год и на плановый период 2026 и 2027 годов».</w:t>
      </w:r>
      <w:r w:rsidR="00B90FCD">
        <w:rPr>
          <w:rFonts w:ascii="Times New Roman" w:hAnsi="Times New Roman" w:cs="Times New Roman"/>
          <w:sz w:val="28"/>
          <w:szCs w:val="28"/>
        </w:rPr>
        <w:t xml:space="preserve"> </w:t>
      </w:r>
      <w:r w:rsidR="00A5299F" w:rsidRPr="00A5299F">
        <w:rPr>
          <w:rFonts w:ascii="Times New Roman" w:hAnsi="Times New Roman" w:cs="Times New Roman"/>
          <w:sz w:val="28"/>
          <w:szCs w:val="28"/>
        </w:rPr>
        <w:t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объёмы реализации подакцизных товаров, индекс потребительских цен,  фонд заработной платы) по муниципальным образованиям района</w:t>
      </w:r>
      <w:r w:rsidR="00B90F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7C18D6" w14:textId="62BA0A41" w:rsidR="00F84DAA" w:rsidRDefault="00F84DAA" w:rsidP="00F8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EA">
        <w:rPr>
          <w:rFonts w:ascii="Times New Roman" w:hAnsi="Times New Roman" w:cs="Times New Roman"/>
          <w:sz w:val="28"/>
          <w:szCs w:val="28"/>
        </w:rPr>
        <w:t>Доходы бюджета на 2025 год и на плановый период 2026 и 2027 годов сформированы в соответствии со статьей 41 БК РФ, а именно, за счет налоговых и неналоговых доходов и</w:t>
      </w:r>
      <w:r w:rsidR="00B57053" w:rsidRPr="007033EA">
        <w:rPr>
          <w:rFonts w:ascii="Times New Roman" w:hAnsi="Times New Roman" w:cs="Times New Roman"/>
          <w:sz w:val="28"/>
          <w:szCs w:val="28"/>
        </w:rPr>
        <w:t xml:space="preserve"> </w:t>
      </w:r>
      <w:r w:rsidRPr="007033EA">
        <w:rPr>
          <w:rFonts w:ascii="Times New Roman" w:hAnsi="Times New Roman" w:cs="Times New Roman"/>
          <w:sz w:val="28"/>
          <w:szCs w:val="28"/>
        </w:rPr>
        <w:t>безвозмездных поступлений из бюджетов других уровней.</w:t>
      </w:r>
    </w:p>
    <w:p w14:paraId="6CBEB8D1" w14:textId="64EF50E8" w:rsidR="009501BE" w:rsidRDefault="001B0C52" w:rsidP="003E4EFB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</w:t>
      </w:r>
      <w:r w:rsidRPr="001B0C52">
        <w:rPr>
          <w:rFonts w:ascii="Times New Roman" w:hAnsi="Times New Roman" w:cs="Times New Roman"/>
          <w:spacing w:val="-12"/>
          <w:sz w:val="28"/>
          <w:szCs w:val="28"/>
        </w:rPr>
        <w:t>Согласно данным пояснительной записки</w:t>
      </w:r>
      <w:r w:rsidRPr="001B0C52">
        <w:t xml:space="preserve"> </w:t>
      </w:r>
      <w:r w:rsidRPr="001B0C52">
        <w:rPr>
          <w:rFonts w:ascii="Times New Roman" w:hAnsi="Times New Roman" w:cs="Times New Roman"/>
          <w:spacing w:val="-12"/>
          <w:sz w:val="28"/>
          <w:szCs w:val="28"/>
        </w:rPr>
        <w:t xml:space="preserve">и финансово-экономического обоснования к проекту Решения Представительного Собрания Большесолдатского района Курской области «О бюджете муниципального района  «Большесолдатский район» Курской области на 2025 год и на плановый период 2026 и 2027 годов», расчет </w:t>
      </w:r>
    </w:p>
    <w:p w14:paraId="562B5E1F" w14:textId="29EC2B35" w:rsidR="00A9238D" w:rsidRPr="007033EA" w:rsidRDefault="009501BE" w:rsidP="007033EA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501BE">
        <w:rPr>
          <w:rFonts w:ascii="Times New Roman" w:hAnsi="Times New Roman" w:cs="Times New Roman"/>
          <w:spacing w:val="-12"/>
          <w:sz w:val="28"/>
          <w:szCs w:val="28"/>
        </w:rPr>
        <w:t>доходов бюджета муниципального района «Большесолдатский район» Курской области учитывались действующие федеральные и областные законы и проект Закона Курской области «Об областном бюджете на 2025 год и на плановый период 2026 и 2027 годов».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1BE">
        <w:rPr>
          <w:rFonts w:ascii="Times New Roman" w:hAnsi="Times New Roman" w:cs="Times New Roman"/>
          <w:spacing w:val="-12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объёмы реализации </w:t>
      </w:r>
      <w:r w:rsidRPr="009501BE">
        <w:rPr>
          <w:rFonts w:ascii="Times New Roman" w:hAnsi="Times New Roman" w:cs="Times New Roman"/>
          <w:spacing w:val="-12"/>
          <w:sz w:val="28"/>
          <w:szCs w:val="28"/>
        </w:rPr>
        <w:lastRenderedPageBreak/>
        <w:t>подакцизных товаров, индекс потребительских цен,  фонд заработной платы) по муниципальным образованиям района</w:t>
      </w:r>
      <w:r w:rsidR="007033EA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14:paraId="494A6983" w14:textId="77777777" w:rsidR="00BB49DA" w:rsidRPr="00BB49DA" w:rsidRDefault="00BB49DA" w:rsidP="003E4EFB">
      <w:pPr>
        <w:spacing w:after="0" w:line="240" w:lineRule="auto"/>
        <w:ind w:left="58" w:right="15"/>
        <w:jc w:val="both"/>
        <w:rPr>
          <w:rFonts w:ascii="Times New Roman" w:hAnsi="Times New Roman" w:cs="Times New Roman"/>
          <w:sz w:val="28"/>
          <w:szCs w:val="28"/>
        </w:rPr>
      </w:pPr>
      <w:r w:rsidRPr="00BB49DA">
        <w:rPr>
          <w:rFonts w:ascii="Times New Roman" w:hAnsi="Times New Roman" w:cs="Times New Roman"/>
          <w:sz w:val="28"/>
          <w:szCs w:val="28"/>
        </w:rPr>
        <w:t>По результатам экспертизы доходной части бюджета муниципального образования отмечается, что вопросы повышения качества планирования и эффективности администрирования налоговых и неналоговых доходов сохраняют свою актуальность, поскольку от обеспечения должного уровня администрирования, требуемого в соответствии со ст. 160.1 БК РФ, зависит не только полнота и своевременность наполняемости бюджета, но и состояние основных источников финансирования субъектов бюджетного процесса. Очень важно, чтобы бюджетное прогнозирование не было пассивным, то есть, не ограничивалось только и исключительно «переложением» прогнозируемых показателей социально-экономического развития в финансовые, но и основывалось на стратегических подходах, целевых параметрах развития бюджетной системы. Фактически речь идет об итерационном, последовательном и взаимоувязанном подходе к планированию и прогнозированию как в сфере социально-экономического развития, так и в отношении налогово-бюджетной и долговой политик, включая и межбюджетное регулирование.</w:t>
      </w:r>
    </w:p>
    <w:p w14:paraId="547D090D" w14:textId="56B5A27B" w:rsidR="005C0D72" w:rsidRPr="005C0D72" w:rsidRDefault="005C0D72" w:rsidP="003E4EF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0D72">
        <w:rPr>
          <w:rFonts w:ascii="Times New Roman" w:hAnsi="Times New Roman" w:cs="Times New Roman"/>
          <w:i/>
          <w:iCs/>
          <w:sz w:val="28"/>
          <w:szCs w:val="28"/>
        </w:rPr>
        <w:t>Экспертное Заключение к Проекту   показало, что проект 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на 2025 год и на плановый период 2026 и 2027 годов» соответствует действующему законодательству.</w:t>
      </w:r>
    </w:p>
    <w:p w14:paraId="4064A749" w14:textId="04EF31F2" w:rsidR="003E4EFB" w:rsidRPr="003E4EFB" w:rsidRDefault="003E4EFB" w:rsidP="007033EA">
      <w:pPr>
        <w:pStyle w:val="aff2"/>
        <w:ind w:firstLine="709"/>
        <w:jc w:val="both"/>
        <w:rPr>
          <w:szCs w:val="28"/>
        </w:rPr>
      </w:pPr>
      <w:r w:rsidRPr="003E4EFB">
        <w:rPr>
          <w:szCs w:val="28"/>
        </w:rPr>
        <w:t>Согласно данным пояснительной записки и финансово-экономического обоснования к проекту Решения Представительного Собрания Большесолдатского района Курской области «О бюджете муниципального района  «Большесолдатский район» Курской области на 2025 год и на плановый период 2026 и 2027 годов»</w:t>
      </w:r>
      <w:r>
        <w:rPr>
          <w:szCs w:val="28"/>
        </w:rPr>
        <w:t xml:space="preserve"> </w:t>
      </w:r>
      <w:r w:rsidR="007033EA">
        <w:rPr>
          <w:szCs w:val="28"/>
        </w:rPr>
        <w:t>п</w:t>
      </w:r>
      <w:r w:rsidRPr="003E4EFB">
        <w:rPr>
          <w:szCs w:val="28"/>
        </w:rPr>
        <w:t>ри формировании бюджета на 2025-2027 годы применены общие подходы к расчету бюджетных проектировок:</w:t>
      </w:r>
    </w:p>
    <w:p w14:paraId="70726FA9" w14:textId="77777777" w:rsidR="003E4EFB" w:rsidRPr="003E4EFB" w:rsidRDefault="003E4EFB" w:rsidP="003E4EF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>1) оплату труда работников органов местного самоуправления осуществляется исходя из утвержденных структур, действующих на 1 августа</w:t>
      </w:r>
      <w:r w:rsidRPr="003E4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4EFB">
        <w:rPr>
          <w:rFonts w:ascii="Times New Roman" w:hAnsi="Times New Roman" w:cs="Times New Roman"/>
          <w:sz w:val="28"/>
          <w:szCs w:val="28"/>
        </w:rPr>
        <w:t>2024 года, и нормативных актов Администрации Большесолдатского района Курской области, регулирующих оплату труда;</w:t>
      </w:r>
    </w:p>
    <w:p w14:paraId="7132A5EB" w14:textId="77777777" w:rsidR="003E4EFB" w:rsidRPr="003E4EFB" w:rsidRDefault="003E4EFB" w:rsidP="003E4EF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>2) текущее содержание органов местного самоуправления Большесолдатского муниципального района Курской области - исходя из общих подходов к расчету бюджетных проектировок, а также установленных для муниципального района «Большесолдатский район» Курской области нормативов формирования расходов на содержание органов местного самоуправления;</w:t>
      </w:r>
    </w:p>
    <w:p w14:paraId="3F142E91" w14:textId="77777777" w:rsidR="003E4EFB" w:rsidRPr="003E4EFB" w:rsidRDefault="003E4EFB" w:rsidP="003E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>3) планирование бюджетных ассигнований на реализацию положений Указа Президента Российской Федерации  от 07.05.2012 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регионе;</w:t>
      </w:r>
    </w:p>
    <w:p w14:paraId="044B56CF" w14:textId="77777777" w:rsidR="003E4EFB" w:rsidRPr="003E4EFB" w:rsidRDefault="003E4EFB" w:rsidP="003E4EF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>4) по начислениям на оплату труда  установлен тариф страховых взносов в государственные внебюджетные фонды в размере 30,2 %;</w:t>
      </w:r>
    </w:p>
    <w:p w14:paraId="594DE66A" w14:textId="77777777" w:rsidR="003E4EFB" w:rsidRPr="003E4EFB" w:rsidRDefault="003E4EFB" w:rsidP="003E4EF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 xml:space="preserve">5) расходы на реализацию целевых программ учтены в соответствии с объемами, определенными на их реализацию нормативно-правовыми актами; </w:t>
      </w:r>
    </w:p>
    <w:p w14:paraId="1C8D5896" w14:textId="77777777" w:rsidR="003E4EFB" w:rsidRPr="003E4EFB" w:rsidRDefault="003E4EFB" w:rsidP="003E4EF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lastRenderedPageBreak/>
        <w:t>6) бюджетные ассигнования, финансовое обеспечение которых осуществляется за счет средств областного бюджета в виде целевых субвенций, предусматриваются в объемах, отраженных в проекте закона Курской области «Об областном бюджете на 2025 год и на плановый период 2026 и 2027 годов» на момент формирования бюджета муниципального района «Большесолдатский район»;</w:t>
      </w:r>
    </w:p>
    <w:p w14:paraId="758C316E" w14:textId="77777777" w:rsidR="003E4EFB" w:rsidRPr="003E4EFB" w:rsidRDefault="003E4EFB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 xml:space="preserve">         7) расходы от платных услуг и иной приносящей доход деятельности казенных учреждений планируются по данным, полученным от получателей средств бюджета муниципального района;</w:t>
      </w:r>
    </w:p>
    <w:p w14:paraId="670BE614" w14:textId="30964EF6" w:rsidR="00BC4BC4" w:rsidRPr="00FC7F45" w:rsidRDefault="003E4EFB" w:rsidP="00FC7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 xml:space="preserve">8) расходы по остальным материальным затратам по соответствующим разделам и подразделам предусмотрены по остаточному принципу. </w:t>
      </w:r>
    </w:p>
    <w:p w14:paraId="000000AE" w14:textId="37E98E95" w:rsidR="008039DC" w:rsidRDefault="001B1AD1" w:rsidP="000F7A9C">
      <w:pPr>
        <w:pStyle w:val="aff2"/>
        <w:ind w:firstLine="426"/>
        <w:jc w:val="both"/>
        <w:rPr>
          <w:szCs w:val="28"/>
        </w:rPr>
      </w:pPr>
      <w:r>
        <w:rPr>
          <w:szCs w:val="28"/>
        </w:rPr>
        <w:t xml:space="preserve">Состав показателей, представленных для рассмотрения и утверждения </w:t>
      </w:r>
      <w:r w:rsidR="005C0709" w:rsidRPr="005C0709">
        <w:rPr>
          <w:szCs w:val="28"/>
        </w:rPr>
        <w:t xml:space="preserve">Проекта Решения Представительного Собрания Большесолдатского района Курской области «О бюджете </w:t>
      </w:r>
      <w:bookmarkStart w:id="2" w:name="_Hlk185002633"/>
      <w:r w:rsidR="005C0709" w:rsidRPr="005C0709">
        <w:rPr>
          <w:szCs w:val="28"/>
        </w:rPr>
        <w:t xml:space="preserve">муниципального района “Большесолдатский район” Курской области </w:t>
      </w:r>
      <w:bookmarkEnd w:id="2"/>
      <w:r w:rsidR="005C0709" w:rsidRPr="005C0709">
        <w:rPr>
          <w:szCs w:val="28"/>
        </w:rPr>
        <w:t>на 2025 год и на плановый период 2026 и 2027 годов»</w:t>
      </w:r>
      <w:r>
        <w:rPr>
          <w:szCs w:val="28"/>
        </w:rPr>
        <w:t>, а также перечень документов и материалов, представленных одновременно с проектом бюджета, соответствуют требованиям Главы 20 «Основы составления проектов бюджетов» Бюджетного Кодекса РФ.</w:t>
      </w:r>
    </w:p>
    <w:p w14:paraId="000000AF" w14:textId="77777777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>Основные параметры прогноза социально-экономического развития и показатели проекта бюджета на очередной финансовый год, и плановый период считать достоверными.</w:t>
      </w:r>
    </w:p>
    <w:p w14:paraId="000000B0" w14:textId="128CABBD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 xml:space="preserve">Социально-экономическая политика </w:t>
      </w:r>
      <w:r w:rsidR="000F7A9C" w:rsidRPr="000F7A9C">
        <w:rPr>
          <w:szCs w:val="28"/>
        </w:rPr>
        <w:t xml:space="preserve">муниципального района “Большесолдатский район” Курской области </w:t>
      </w:r>
      <w:r>
        <w:rPr>
          <w:szCs w:val="28"/>
        </w:rPr>
        <w:t>соответствует Бюджетной политики государства.</w:t>
      </w:r>
    </w:p>
    <w:p w14:paraId="000000B1" w14:textId="77777777" w:rsidR="008039DC" w:rsidRDefault="001B1AD1">
      <w:pPr>
        <w:pStyle w:val="aff2"/>
        <w:ind w:firstLine="709"/>
        <w:jc w:val="both"/>
        <w:rPr>
          <w:b/>
          <w:szCs w:val="28"/>
        </w:rPr>
      </w:pPr>
      <w:r>
        <w:rPr>
          <w:szCs w:val="28"/>
        </w:rPr>
        <w:t>Доходы, Бюджетные ассигнования, направляемые на исполнение расходных обязательств, в том числе на реализацию муниципальных целевых программ, структуру муниципального долга и расходов на его погашение считать обоснованными.</w:t>
      </w:r>
    </w:p>
    <w:p w14:paraId="000000B2" w14:textId="77777777" w:rsidR="008039DC" w:rsidRDefault="008039DC">
      <w:pPr>
        <w:pStyle w:val="aff2"/>
        <w:ind w:firstLine="709"/>
        <w:jc w:val="both"/>
        <w:rPr>
          <w:b/>
          <w:szCs w:val="28"/>
        </w:rPr>
      </w:pPr>
    </w:p>
    <w:p w14:paraId="000000B3" w14:textId="2B0AF8B4" w:rsidR="008039DC" w:rsidRDefault="001B1AD1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эксперно-аналитического мероприятия, проекта 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Ревизионной комиссией Большесолдатского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Большесолдатского района В.П.Зайцеву с предложением принять  представленный проект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4" w14:textId="4AABB51C" w:rsidR="008039DC" w:rsidRDefault="001B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эксперно-аналитического мероприятия, проекта 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Ревизионной комиссией Большесолдатского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Большесолдатского района В.П.Зайцеву с предложениями:</w:t>
      </w:r>
    </w:p>
    <w:p w14:paraId="000000B5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со статьей 72 Бюджетного кодекса Российской Федерации обеспечить заключение и оплату муниципальных контрактов в пределах лимитов бюджетных обязательств. </w:t>
      </w:r>
    </w:p>
    <w:p w14:paraId="000000B6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-Исключить случаи заключения муниципальных контрактов, принятия учреждениями Большесолдатского района бюджетных обязательств сверх утвержденных бюджетных ассигнований. </w:t>
      </w:r>
    </w:p>
    <w:p w14:paraId="000000B7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 допускать образование несанкционированной кредиторской задолженности и принятие финансовых обязательств, не обеспеченных финансовыми ресурсами;</w:t>
      </w:r>
    </w:p>
    <w:p w14:paraId="000000B8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Исполнять Указы Президента Российской Федерации в части повышения оплаты труда работникам муниципальных учреждений бюджетной сферы;</w:t>
      </w:r>
    </w:p>
    <w:p w14:paraId="000000B9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 целях увеличения доходов районного бюджета главным администраторам продолжить работу по сокращению недоимки по платежам в местный бюджет и дальнейшего совершенствования администрирования доходов местного бюджета.</w:t>
      </w:r>
    </w:p>
    <w:p w14:paraId="000000BA" w14:textId="58031B2F" w:rsidR="008039DC" w:rsidRDefault="001B1A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По итогам проведенного эксперно-аналитического мероприятия, проекта 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Большесолдатского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считает возможным рекомендовать Представительному Собранию Большесолдатского района Курской области, внести на утверждение проект Решения Представительного Собрания Большесолдатского района Курской области «О бюджете муниципального района “Большесолдатский район”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14:paraId="000000BB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BC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C5" w14:textId="77777777" w:rsidR="008039DC" w:rsidRDefault="008039DC">
      <w:pPr>
        <w:pStyle w:val="aff2"/>
        <w:ind w:firstLine="0"/>
        <w:rPr>
          <w:szCs w:val="28"/>
        </w:rPr>
      </w:pPr>
    </w:p>
    <w:p w14:paraId="000000C6" w14:textId="77777777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Ревизионной комиссии</w:t>
      </w:r>
    </w:p>
    <w:p w14:paraId="000000C7" w14:textId="77777777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Большесолдатского района</w:t>
      </w:r>
    </w:p>
    <w:p w14:paraId="000000C8" w14:textId="77777777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Курской области                                                                    О. Н.  Гридина </w:t>
      </w:r>
    </w:p>
    <w:p w14:paraId="000000C9" w14:textId="77777777" w:rsidR="008039DC" w:rsidRDefault="008039DC"/>
    <w:p w14:paraId="000000CA" w14:textId="77777777" w:rsidR="008039DC" w:rsidRDefault="008039D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000CB" w14:textId="77777777" w:rsidR="008039DC" w:rsidRDefault="008039D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000CC" w14:textId="77777777" w:rsidR="008039DC" w:rsidRDefault="001B1AD1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sectPr w:rsidR="008039DC" w:rsidSect="00A64CB6">
      <w:pgSz w:w="11906" w:h="16838"/>
      <w:pgMar w:top="709" w:right="849" w:bottom="426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55F7E"/>
    <w:multiLevelType w:val="hybridMultilevel"/>
    <w:tmpl w:val="7938E2EC"/>
    <w:lvl w:ilvl="0" w:tplc="18FE46A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5FDE49F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296957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208EC5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44230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958E2A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48AD1A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DA056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2C2758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CE2D07"/>
    <w:multiLevelType w:val="hybridMultilevel"/>
    <w:tmpl w:val="24C60E36"/>
    <w:lvl w:ilvl="0" w:tplc="B3229842">
      <w:start w:val="1"/>
      <w:numFmt w:val="decimal"/>
      <w:lvlText w:val="%1."/>
      <w:lvlJc w:val="left"/>
      <w:pPr>
        <w:ind w:left="1428" w:hanging="360"/>
      </w:pPr>
    </w:lvl>
    <w:lvl w:ilvl="1" w:tplc="9E3A801A" w:tentative="1">
      <w:start w:val="1"/>
      <w:numFmt w:val="lowerLetter"/>
      <w:lvlText w:val="%2."/>
      <w:lvlJc w:val="left"/>
      <w:pPr>
        <w:ind w:left="2148" w:hanging="360"/>
      </w:pPr>
    </w:lvl>
    <w:lvl w:ilvl="2" w:tplc="C6F2D158" w:tentative="1">
      <w:start w:val="1"/>
      <w:numFmt w:val="lowerRoman"/>
      <w:lvlText w:val="%3."/>
      <w:lvlJc w:val="right"/>
      <w:pPr>
        <w:ind w:left="2868" w:hanging="360"/>
      </w:pPr>
    </w:lvl>
    <w:lvl w:ilvl="3" w:tplc="C368136A" w:tentative="1">
      <w:start w:val="1"/>
      <w:numFmt w:val="decimal"/>
      <w:lvlText w:val="%4."/>
      <w:lvlJc w:val="left"/>
      <w:pPr>
        <w:ind w:left="3588" w:hanging="360"/>
      </w:pPr>
    </w:lvl>
    <w:lvl w:ilvl="4" w:tplc="425409C6" w:tentative="1">
      <w:start w:val="1"/>
      <w:numFmt w:val="lowerLetter"/>
      <w:lvlText w:val="%5."/>
      <w:lvlJc w:val="left"/>
      <w:pPr>
        <w:ind w:left="4308" w:hanging="360"/>
      </w:pPr>
    </w:lvl>
    <w:lvl w:ilvl="5" w:tplc="5ED0AA5A" w:tentative="1">
      <w:start w:val="1"/>
      <w:numFmt w:val="lowerRoman"/>
      <w:lvlText w:val="%6."/>
      <w:lvlJc w:val="right"/>
      <w:pPr>
        <w:ind w:left="5028" w:hanging="360"/>
      </w:pPr>
    </w:lvl>
    <w:lvl w:ilvl="6" w:tplc="EF9AB12E" w:tentative="1">
      <w:start w:val="1"/>
      <w:numFmt w:val="decimal"/>
      <w:lvlText w:val="%7."/>
      <w:lvlJc w:val="left"/>
      <w:pPr>
        <w:ind w:left="5749" w:hanging="360"/>
      </w:pPr>
    </w:lvl>
    <w:lvl w:ilvl="7" w:tplc="D9BCBA0E" w:tentative="1">
      <w:start w:val="1"/>
      <w:numFmt w:val="lowerLetter"/>
      <w:lvlText w:val="%8."/>
      <w:lvlJc w:val="left"/>
      <w:pPr>
        <w:ind w:left="6469" w:hanging="360"/>
      </w:pPr>
    </w:lvl>
    <w:lvl w:ilvl="8" w:tplc="2AD47962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4E4"/>
    <w:rsid w:val="000225FA"/>
    <w:rsid w:val="00024629"/>
    <w:rsid w:val="000336E9"/>
    <w:rsid w:val="00043F76"/>
    <w:rsid w:val="00052509"/>
    <w:rsid w:val="00052703"/>
    <w:rsid w:val="00067EDA"/>
    <w:rsid w:val="000730FC"/>
    <w:rsid w:val="00074CE9"/>
    <w:rsid w:val="00076473"/>
    <w:rsid w:val="00077968"/>
    <w:rsid w:val="00087756"/>
    <w:rsid w:val="00093A64"/>
    <w:rsid w:val="00094A45"/>
    <w:rsid w:val="000A76D3"/>
    <w:rsid w:val="000B48E4"/>
    <w:rsid w:val="000F0E77"/>
    <w:rsid w:val="000F6252"/>
    <w:rsid w:val="000F7A9C"/>
    <w:rsid w:val="00113355"/>
    <w:rsid w:val="001160CC"/>
    <w:rsid w:val="001220D3"/>
    <w:rsid w:val="0012473C"/>
    <w:rsid w:val="00136960"/>
    <w:rsid w:val="00154536"/>
    <w:rsid w:val="00162017"/>
    <w:rsid w:val="00174B4D"/>
    <w:rsid w:val="00185277"/>
    <w:rsid w:val="0019488C"/>
    <w:rsid w:val="001B0C52"/>
    <w:rsid w:val="001B125B"/>
    <w:rsid w:val="001B1AD1"/>
    <w:rsid w:val="001D12AB"/>
    <w:rsid w:val="00201AB4"/>
    <w:rsid w:val="00237E2C"/>
    <w:rsid w:val="00244E69"/>
    <w:rsid w:val="00264F95"/>
    <w:rsid w:val="0026681B"/>
    <w:rsid w:val="002753E0"/>
    <w:rsid w:val="00276908"/>
    <w:rsid w:val="002862D5"/>
    <w:rsid w:val="00296D8F"/>
    <w:rsid w:val="002A611B"/>
    <w:rsid w:val="002B452F"/>
    <w:rsid w:val="002C50CC"/>
    <w:rsid w:val="002C7F65"/>
    <w:rsid w:val="002E2A9E"/>
    <w:rsid w:val="002E5860"/>
    <w:rsid w:val="002E5EE8"/>
    <w:rsid w:val="002E6856"/>
    <w:rsid w:val="003123A8"/>
    <w:rsid w:val="003133B0"/>
    <w:rsid w:val="00316B41"/>
    <w:rsid w:val="00336CE8"/>
    <w:rsid w:val="00354D5B"/>
    <w:rsid w:val="00365E5F"/>
    <w:rsid w:val="00372F1F"/>
    <w:rsid w:val="003838F0"/>
    <w:rsid w:val="003965B4"/>
    <w:rsid w:val="003A5CB8"/>
    <w:rsid w:val="003B7FD3"/>
    <w:rsid w:val="003C76B3"/>
    <w:rsid w:val="003E0C17"/>
    <w:rsid w:val="003E4CA0"/>
    <w:rsid w:val="003E4EFB"/>
    <w:rsid w:val="003E5251"/>
    <w:rsid w:val="00406365"/>
    <w:rsid w:val="00411A06"/>
    <w:rsid w:val="00417C38"/>
    <w:rsid w:val="004202B1"/>
    <w:rsid w:val="0043182F"/>
    <w:rsid w:val="0043391D"/>
    <w:rsid w:val="004554E4"/>
    <w:rsid w:val="004555D0"/>
    <w:rsid w:val="00467FF4"/>
    <w:rsid w:val="00471032"/>
    <w:rsid w:val="00496E84"/>
    <w:rsid w:val="004C419D"/>
    <w:rsid w:val="00521F44"/>
    <w:rsid w:val="005239AC"/>
    <w:rsid w:val="00526BB6"/>
    <w:rsid w:val="00540B7D"/>
    <w:rsid w:val="005440E3"/>
    <w:rsid w:val="00595779"/>
    <w:rsid w:val="005B12E5"/>
    <w:rsid w:val="005C0709"/>
    <w:rsid w:val="005C0D72"/>
    <w:rsid w:val="005E2EE8"/>
    <w:rsid w:val="0060086C"/>
    <w:rsid w:val="0060302B"/>
    <w:rsid w:val="0062041F"/>
    <w:rsid w:val="006241E8"/>
    <w:rsid w:val="00631597"/>
    <w:rsid w:val="00631F97"/>
    <w:rsid w:val="006431CE"/>
    <w:rsid w:val="006507D5"/>
    <w:rsid w:val="00651676"/>
    <w:rsid w:val="006517B2"/>
    <w:rsid w:val="00660426"/>
    <w:rsid w:val="0066743D"/>
    <w:rsid w:val="00687201"/>
    <w:rsid w:val="006D340D"/>
    <w:rsid w:val="006D5243"/>
    <w:rsid w:val="006E4898"/>
    <w:rsid w:val="006E4A07"/>
    <w:rsid w:val="007033EA"/>
    <w:rsid w:val="007070C0"/>
    <w:rsid w:val="007143D5"/>
    <w:rsid w:val="00723FAA"/>
    <w:rsid w:val="007269CD"/>
    <w:rsid w:val="00761E23"/>
    <w:rsid w:val="00795189"/>
    <w:rsid w:val="007C1111"/>
    <w:rsid w:val="007C174D"/>
    <w:rsid w:val="007C1DA1"/>
    <w:rsid w:val="007E6504"/>
    <w:rsid w:val="007F27D4"/>
    <w:rsid w:val="008039DC"/>
    <w:rsid w:val="00807BA0"/>
    <w:rsid w:val="00816577"/>
    <w:rsid w:val="00821392"/>
    <w:rsid w:val="00825516"/>
    <w:rsid w:val="0084378B"/>
    <w:rsid w:val="0085627D"/>
    <w:rsid w:val="008625BE"/>
    <w:rsid w:val="0087634B"/>
    <w:rsid w:val="0087758B"/>
    <w:rsid w:val="008937C7"/>
    <w:rsid w:val="008A012A"/>
    <w:rsid w:val="008A0A20"/>
    <w:rsid w:val="008C0E6B"/>
    <w:rsid w:val="008C1A73"/>
    <w:rsid w:val="008D193F"/>
    <w:rsid w:val="008E2EE1"/>
    <w:rsid w:val="00935E7D"/>
    <w:rsid w:val="0094014B"/>
    <w:rsid w:val="00944AD7"/>
    <w:rsid w:val="00945F5A"/>
    <w:rsid w:val="009465C6"/>
    <w:rsid w:val="009501BE"/>
    <w:rsid w:val="00950C74"/>
    <w:rsid w:val="00954E6B"/>
    <w:rsid w:val="0096596A"/>
    <w:rsid w:val="00972583"/>
    <w:rsid w:val="00973BCF"/>
    <w:rsid w:val="00981D86"/>
    <w:rsid w:val="009940BB"/>
    <w:rsid w:val="009D2536"/>
    <w:rsid w:val="009D41E8"/>
    <w:rsid w:val="00A33B65"/>
    <w:rsid w:val="00A4489D"/>
    <w:rsid w:val="00A46C84"/>
    <w:rsid w:val="00A51F07"/>
    <w:rsid w:val="00A5299F"/>
    <w:rsid w:val="00A562F5"/>
    <w:rsid w:val="00A64CB6"/>
    <w:rsid w:val="00A66D2D"/>
    <w:rsid w:val="00A67431"/>
    <w:rsid w:val="00A70E47"/>
    <w:rsid w:val="00A75024"/>
    <w:rsid w:val="00A857E0"/>
    <w:rsid w:val="00A85A87"/>
    <w:rsid w:val="00A85E74"/>
    <w:rsid w:val="00A9238D"/>
    <w:rsid w:val="00A938E4"/>
    <w:rsid w:val="00A96E29"/>
    <w:rsid w:val="00A97CA4"/>
    <w:rsid w:val="00AA2C96"/>
    <w:rsid w:val="00AC0496"/>
    <w:rsid w:val="00AC060D"/>
    <w:rsid w:val="00AC0BDF"/>
    <w:rsid w:val="00AC2D6F"/>
    <w:rsid w:val="00AC65B9"/>
    <w:rsid w:val="00AE0729"/>
    <w:rsid w:val="00AE797B"/>
    <w:rsid w:val="00AF6232"/>
    <w:rsid w:val="00AF7539"/>
    <w:rsid w:val="00B330BC"/>
    <w:rsid w:val="00B50188"/>
    <w:rsid w:val="00B52E4B"/>
    <w:rsid w:val="00B57053"/>
    <w:rsid w:val="00B57F0C"/>
    <w:rsid w:val="00B60371"/>
    <w:rsid w:val="00B6424E"/>
    <w:rsid w:val="00B80201"/>
    <w:rsid w:val="00B90FCD"/>
    <w:rsid w:val="00BA60D3"/>
    <w:rsid w:val="00BB0537"/>
    <w:rsid w:val="00BB49DA"/>
    <w:rsid w:val="00BB5420"/>
    <w:rsid w:val="00BC4639"/>
    <w:rsid w:val="00BC4BC4"/>
    <w:rsid w:val="00BD2210"/>
    <w:rsid w:val="00BE038E"/>
    <w:rsid w:val="00C100BF"/>
    <w:rsid w:val="00C13CDE"/>
    <w:rsid w:val="00C21B00"/>
    <w:rsid w:val="00C25E8B"/>
    <w:rsid w:val="00C375AA"/>
    <w:rsid w:val="00C50EEA"/>
    <w:rsid w:val="00C62154"/>
    <w:rsid w:val="00C658D2"/>
    <w:rsid w:val="00C90003"/>
    <w:rsid w:val="00CA5AA3"/>
    <w:rsid w:val="00CB0375"/>
    <w:rsid w:val="00CB0A7B"/>
    <w:rsid w:val="00CC38B6"/>
    <w:rsid w:val="00CD14AB"/>
    <w:rsid w:val="00CF25DB"/>
    <w:rsid w:val="00CF2F02"/>
    <w:rsid w:val="00CF33B2"/>
    <w:rsid w:val="00D049A5"/>
    <w:rsid w:val="00D05A1A"/>
    <w:rsid w:val="00D05D8A"/>
    <w:rsid w:val="00D12C31"/>
    <w:rsid w:val="00D13EC2"/>
    <w:rsid w:val="00D170E5"/>
    <w:rsid w:val="00D3183B"/>
    <w:rsid w:val="00D42BE6"/>
    <w:rsid w:val="00D45F21"/>
    <w:rsid w:val="00D60A00"/>
    <w:rsid w:val="00D7568C"/>
    <w:rsid w:val="00D9651D"/>
    <w:rsid w:val="00DB4C29"/>
    <w:rsid w:val="00DC3106"/>
    <w:rsid w:val="00DC3331"/>
    <w:rsid w:val="00DD2E28"/>
    <w:rsid w:val="00DE52EA"/>
    <w:rsid w:val="00DE57B6"/>
    <w:rsid w:val="00E01D2B"/>
    <w:rsid w:val="00E01E7A"/>
    <w:rsid w:val="00E13BD6"/>
    <w:rsid w:val="00E16760"/>
    <w:rsid w:val="00E229BC"/>
    <w:rsid w:val="00E31613"/>
    <w:rsid w:val="00E343DA"/>
    <w:rsid w:val="00E70406"/>
    <w:rsid w:val="00E725DC"/>
    <w:rsid w:val="00E80880"/>
    <w:rsid w:val="00E86905"/>
    <w:rsid w:val="00E91880"/>
    <w:rsid w:val="00EA4FFC"/>
    <w:rsid w:val="00EB61A5"/>
    <w:rsid w:val="00EC2726"/>
    <w:rsid w:val="00EC5F19"/>
    <w:rsid w:val="00ED5819"/>
    <w:rsid w:val="00EF66D2"/>
    <w:rsid w:val="00F04E0F"/>
    <w:rsid w:val="00F13C97"/>
    <w:rsid w:val="00F27CFF"/>
    <w:rsid w:val="00F315D3"/>
    <w:rsid w:val="00F323F2"/>
    <w:rsid w:val="00F37A1A"/>
    <w:rsid w:val="00F42EF0"/>
    <w:rsid w:val="00F50DD9"/>
    <w:rsid w:val="00F55AA3"/>
    <w:rsid w:val="00F6537C"/>
    <w:rsid w:val="00F748D3"/>
    <w:rsid w:val="00F839A0"/>
    <w:rsid w:val="00F84DAA"/>
    <w:rsid w:val="00F91E18"/>
    <w:rsid w:val="00FA4F28"/>
    <w:rsid w:val="00FA6E05"/>
    <w:rsid w:val="00FB0F1D"/>
    <w:rsid w:val="00FC3AED"/>
    <w:rsid w:val="00FC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15BE"/>
  <w15:docId w15:val="{D97C653E-A123-42F0-8628-4FF27801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1D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99"/>
    <w:pPr>
      <w:spacing w:after="12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99"/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link w:val="aff3"/>
    <w:uiPriority w:val="99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styleId="aff4">
    <w:name w:val="Normal (Web)"/>
    <w:basedOn w:val="a"/>
    <w:uiPriority w:val="99"/>
    <w:semiHidden/>
    <w:unhideWhenUsed/>
    <w:rsid w:val="0087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39"/>
    <w:rsid w:val="00EF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9E89-D895-4197-A347-C80B2E92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8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user</cp:lastModifiedBy>
  <cp:revision>36</cp:revision>
  <dcterms:created xsi:type="dcterms:W3CDTF">2024-12-06T11:17:00Z</dcterms:created>
  <dcterms:modified xsi:type="dcterms:W3CDTF">2025-01-16T11:54:00Z</dcterms:modified>
</cp:coreProperties>
</file>